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CE" w:rsidRPr="00FB45A7" w:rsidRDefault="000246CE" w:rsidP="000246CE">
      <w:pPr>
        <w:jc w:val="center"/>
        <w:rPr>
          <w:rFonts w:ascii="Garamond" w:hAnsi="Garamond"/>
          <w:b/>
          <w:sz w:val="24"/>
          <w:szCs w:val="24"/>
        </w:rPr>
      </w:pPr>
      <w:r w:rsidRPr="00FB45A7">
        <w:rPr>
          <w:rFonts w:ascii="Garamond" w:hAnsi="Garamond"/>
          <w:b/>
          <w:sz w:val="24"/>
          <w:szCs w:val="24"/>
        </w:rPr>
        <w:t>L’ABSENCE D’ASSISTANCE DU SALARI</w:t>
      </w:r>
      <w:r w:rsidRPr="00FB45A7">
        <w:rPr>
          <w:rFonts w:ascii="Garamond" w:hAnsi="Garamond"/>
          <w:b/>
          <w:bCs/>
          <w:sz w:val="24"/>
          <w:szCs w:val="24"/>
        </w:rPr>
        <w:t>É</w:t>
      </w:r>
      <w:r w:rsidRPr="00FB45A7">
        <w:rPr>
          <w:rFonts w:ascii="Garamond" w:hAnsi="Garamond"/>
          <w:b/>
          <w:sz w:val="24"/>
          <w:szCs w:val="24"/>
        </w:rPr>
        <w:t xml:space="preserve"> </w:t>
      </w:r>
      <w:r w:rsidRPr="00FB45A7">
        <w:rPr>
          <w:rFonts w:ascii="Garamond" w:hAnsi="Garamond"/>
          <w:b/>
          <w:sz w:val="24"/>
          <w:szCs w:val="24"/>
        </w:rPr>
        <w:br/>
        <w:t>LORS D’UN ENTRETIEN PR</w:t>
      </w:r>
      <w:r w:rsidRPr="00FB45A7">
        <w:rPr>
          <w:rFonts w:ascii="Garamond" w:hAnsi="Garamond"/>
          <w:b/>
          <w:bCs/>
          <w:sz w:val="24"/>
          <w:szCs w:val="24"/>
        </w:rPr>
        <w:t>É</w:t>
      </w:r>
      <w:r w:rsidRPr="00FB45A7">
        <w:rPr>
          <w:rFonts w:ascii="Garamond" w:hAnsi="Garamond"/>
          <w:b/>
          <w:sz w:val="24"/>
          <w:szCs w:val="24"/>
        </w:rPr>
        <w:t>ALABLE AU LICENCIEMENT CHEZ LE PARTICULIER EMPLOYEUR</w:t>
      </w:r>
    </w:p>
    <w:p w:rsidR="000246CE" w:rsidRPr="00A01255" w:rsidRDefault="000246CE" w:rsidP="000246CE">
      <w:pPr>
        <w:rPr>
          <w:rFonts w:ascii="Garamond" w:hAnsi="Garamond"/>
          <w:sz w:val="24"/>
          <w:szCs w:val="24"/>
        </w:rPr>
      </w:pPr>
    </w:p>
    <w:p w:rsidR="00AC1EB7" w:rsidRPr="00AC1EB7" w:rsidRDefault="00AC1EB7" w:rsidP="00AC1EB7">
      <w:pPr>
        <w:rPr>
          <w:rFonts w:ascii="Garamond" w:hAnsi="Garamond"/>
          <w:sz w:val="24"/>
          <w:szCs w:val="24"/>
        </w:rPr>
      </w:pPr>
      <w:r w:rsidRPr="00AC1EB7">
        <w:rPr>
          <w:rFonts w:ascii="Garamond" w:hAnsi="Garamond"/>
          <w:sz w:val="24"/>
          <w:szCs w:val="24"/>
        </w:rPr>
        <w:t xml:space="preserve">Tout salarié en contrat de travail de droit privé peut voir celui-ci rompu par l’employeur. </w:t>
      </w:r>
      <w:r w:rsidR="0060782C">
        <w:rPr>
          <w:rFonts w:ascii="Garamond" w:hAnsi="Garamond"/>
          <w:sz w:val="24"/>
          <w:szCs w:val="24"/>
        </w:rPr>
        <w:t>Cela</w:t>
      </w:r>
      <w:r w:rsidRPr="00AC1EB7">
        <w:rPr>
          <w:rFonts w:ascii="Garamond" w:hAnsi="Garamond"/>
          <w:sz w:val="24"/>
          <w:szCs w:val="24"/>
        </w:rPr>
        <w:t xml:space="preserve"> se nomme rupture anticipée pour un contrat à durée déterminée et licenciement pour </w:t>
      </w:r>
      <w:r w:rsidR="004B2106">
        <w:rPr>
          <w:rFonts w:ascii="Garamond" w:hAnsi="Garamond"/>
          <w:sz w:val="24"/>
          <w:szCs w:val="24"/>
        </w:rPr>
        <w:t xml:space="preserve">un </w:t>
      </w:r>
      <w:r w:rsidRPr="00AC1EB7">
        <w:rPr>
          <w:rFonts w:ascii="Garamond" w:hAnsi="Garamond"/>
          <w:sz w:val="24"/>
          <w:szCs w:val="24"/>
        </w:rPr>
        <w:t xml:space="preserve">contrat à durée indéterminée. Dans les deux cas, le salarié doit d’abord être convoqué à un entretien préalable. Lors de cet entretien, le salarié peut se faire accompagner, soit par un simple </w:t>
      </w:r>
      <w:r w:rsidR="0060782C">
        <w:rPr>
          <w:rFonts w:ascii="Garamond" w:hAnsi="Garamond"/>
          <w:sz w:val="24"/>
          <w:szCs w:val="24"/>
        </w:rPr>
        <w:t>salarié</w:t>
      </w:r>
      <w:r w:rsidRPr="00AC1EB7">
        <w:rPr>
          <w:rFonts w:ascii="Garamond" w:hAnsi="Garamond"/>
          <w:sz w:val="24"/>
          <w:szCs w:val="24"/>
        </w:rPr>
        <w:t xml:space="preserve"> de l’entreprise, soit par un représentant du personnel. En l’absence d’institutions représentatives du personnel, le salarié peut faire appel à un conseiller du salarié.</w:t>
      </w:r>
    </w:p>
    <w:p w:rsidR="00AC1EB7" w:rsidRPr="00AC1EB7" w:rsidRDefault="00AC1EB7" w:rsidP="00AC1EB7">
      <w:pPr>
        <w:rPr>
          <w:rFonts w:ascii="Garamond" w:hAnsi="Garamond"/>
          <w:sz w:val="24"/>
          <w:szCs w:val="24"/>
        </w:rPr>
      </w:pPr>
      <w:r w:rsidRPr="00AC1EB7">
        <w:rPr>
          <w:rFonts w:ascii="Garamond" w:hAnsi="Garamond"/>
          <w:sz w:val="24"/>
          <w:szCs w:val="24"/>
        </w:rPr>
        <w:t xml:space="preserve">Les personnels travaillant pour le compte de particuliers échappent à cette disposition, du fait de la dérogation au </w:t>
      </w:r>
      <w:r w:rsidR="0060782C">
        <w:rPr>
          <w:rFonts w:ascii="Garamond" w:hAnsi="Garamond"/>
          <w:sz w:val="24"/>
          <w:szCs w:val="24"/>
        </w:rPr>
        <w:t>droit commun</w:t>
      </w:r>
      <w:r w:rsidRPr="00AC1EB7">
        <w:rPr>
          <w:rFonts w:ascii="Garamond" w:hAnsi="Garamond"/>
          <w:sz w:val="24"/>
          <w:szCs w:val="24"/>
        </w:rPr>
        <w:t xml:space="preserve"> caractérisant ce secteur d’activité. Plus particulièrement, l’accès au domicile de l’employeur est proscrit au conseiller du salarié. Il est permis de se demander si cette exception qui entame sérieusement les droits des salariés est conforme au droit européen et communautaire, alors que la Cour de cassation n’y trouve rien à redire. Les entreprises, soumises à l’obligation de permettre au salarié de se faire assister, ont trouvé toutes sortes de solutions lorsque la tenue de l’entretien préalable ne p</w:t>
      </w:r>
      <w:r w:rsidR="00A23CCC">
        <w:rPr>
          <w:rFonts w:ascii="Garamond" w:hAnsi="Garamond"/>
          <w:sz w:val="24"/>
          <w:szCs w:val="24"/>
        </w:rPr>
        <w:t>eu</w:t>
      </w:r>
      <w:r w:rsidRPr="00AC1EB7">
        <w:rPr>
          <w:rFonts w:ascii="Garamond" w:hAnsi="Garamond"/>
          <w:sz w:val="24"/>
          <w:szCs w:val="24"/>
        </w:rPr>
        <w:t xml:space="preserve">t se dérouler sur le lieu de travail ou au siège de l’entreprise. </w:t>
      </w:r>
      <w:r w:rsidRPr="00AC1EB7">
        <w:rPr>
          <w:rFonts w:ascii="Garamond" w:hAnsi="Garamond"/>
          <w:sz w:val="24"/>
          <w:szCs w:val="24"/>
        </w:rPr>
        <w:br/>
        <w:t xml:space="preserve">L’obligation d’assurer le droit fondamental de se faire assister, </w:t>
      </w:r>
      <w:r w:rsidR="00A23CCC">
        <w:rPr>
          <w:rFonts w:ascii="Garamond" w:hAnsi="Garamond"/>
          <w:sz w:val="24"/>
          <w:szCs w:val="24"/>
        </w:rPr>
        <w:t>issu du droit européen, oblige</w:t>
      </w:r>
      <w:r w:rsidRPr="00AC1EB7">
        <w:rPr>
          <w:rFonts w:ascii="Garamond" w:hAnsi="Garamond"/>
          <w:sz w:val="24"/>
          <w:szCs w:val="24"/>
        </w:rPr>
        <w:t xml:space="preserve"> les particuliers employeurs à examiner les solutions </w:t>
      </w:r>
      <w:r w:rsidR="00A23CCC">
        <w:rPr>
          <w:rFonts w:ascii="Garamond" w:hAnsi="Garamond"/>
          <w:sz w:val="24"/>
          <w:szCs w:val="24"/>
        </w:rPr>
        <w:t xml:space="preserve">trouvées par les entreprises, </w:t>
      </w:r>
      <w:r w:rsidRPr="00AC1EB7">
        <w:rPr>
          <w:rFonts w:ascii="Garamond" w:hAnsi="Garamond"/>
          <w:sz w:val="24"/>
          <w:szCs w:val="24"/>
        </w:rPr>
        <w:t>sans disposer des mêmes moyens financiers, juridiques</w:t>
      </w:r>
      <w:r w:rsidR="00A23CCC">
        <w:rPr>
          <w:rFonts w:ascii="Garamond" w:hAnsi="Garamond"/>
          <w:sz w:val="24"/>
          <w:szCs w:val="24"/>
        </w:rPr>
        <w:t xml:space="preserve"> et</w:t>
      </w:r>
      <w:r w:rsidRPr="00AC1EB7">
        <w:rPr>
          <w:rFonts w:ascii="Garamond" w:hAnsi="Garamond"/>
          <w:sz w:val="24"/>
          <w:szCs w:val="24"/>
        </w:rPr>
        <w:t xml:space="preserve"> pratiques. Il ne reste plus qu’aux protagonistes de la convention collective applicable qu’à codifier les modalités de l’assistance. Ou de laisser ce soin au législateur ou aux juges.</w:t>
      </w:r>
    </w:p>
    <w:p w:rsidR="000246CE" w:rsidRDefault="000246CE" w:rsidP="000246CE">
      <w:pPr>
        <w:rPr>
          <w:rFonts w:ascii="Garamond" w:hAnsi="Garamond"/>
          <w:b/>
          <w:sz w:val="24"/>
          <w:szCs w:val="24"/>
        </w:rPr>
      </w:pPr>
      <w:r w:rsidRPr="00A01255">
        <w:rPr>
          <w:rFonts w:ascii="Garamond" w:hAnsi="Garamond"/>
          <w:b/>
          <w:sz w:val="24"/>
          <w:szCs w:val="24"/>
        </w:rPr>
        <w:t xml:space="preserve">I </w:t>
      </w:r>
      <w:r w:rsidR="00A01255">
        <w:rPr>
          <w:rFonts w:ascii="Garamond" w:hAnsi="Garamond"/>
          <w:b/>
          <w:sz w:val="24"/>
          <w:szCs w:val="24"/>
        </w:rPr>
        <w:tab/>
      </w:r>
      <w:r w:rsidRPr="00A01255">
        <w:rPr>
          <w:rFonts w:ascii="Garamond" w:hAnsi="Garamond"/>
          <w:b/>
          <w:sz w:val="24"/>
          <w:szCs w:val="24"/>
        </w:rPr>
        <w:t xml:space="preserve">LE DROIT </w:t>
      </w:r>
      <w:r w:rsidR="002E2084" w:rsidRPr="002E2084">
        <w:rPr>
          <w:rFonts w:ascii="Garamond" w:eastAsia="Calibri" w:hAnsi="Garamond" w:cs="Times New Roman"/>
          <w:b/>
          <w:sz w:val="24"/>
          <w:szCs w:val="24"/>
        </w:rPr>
        <w:t>À</w:t>
      </w:r>
      <w:r w:rsidR="002E2084">
        <w:rPr>
          <w:rFonts w:ascii="Garamond" w:hAnsi="Garamond"/>
          <w:b/>
          <w:sz w:val="24"/>
          <w:szCs w:val="24"/>
        </w:rPr>
        <w:t xml:space="preserve"> </w:t>
      </w:r>
      <w:r w:rsidRPr="00A01255">
        <w:rPr>
          <w:rFonts w:ascii="Garamond" w:hAnsi="Garamond"/>
          <w:b/>
          <w:sz w:val="24"/>
          <w:szCs w:val="24"/>
        </w:rPr>
        <w:t>L’ASSISTANCE LORS DE L’ENTRETIEN PREALABLE AU LICENCIEMENT</w:t>
      </w:r>
    </w:p>
    <w:p w:rsidR="00A01255" w:rsidRPr="00A01255" w:rsidRDefault="00A01255" w:rsidP="00A01255">
      <w:pPr>
        <w:spacing w:after="0" w:line="240" w:lineRule="auto"/>
        <w:rPr>
          <w:rFonts w:ascii="Garamond" w:eastAsia="Times New Roman" w:hAnsi="Garamond" w:cs="Arial"/>
          <w:sz w:val="24"/>
          <w:szCs w:val="24"/>
          <w:lang w:eastAsia="fr-FR"/>
        </w:rPr>
      </w:pPr>
      <w:r w:rsidRPr="00A01255">
        <w:rPr>
          <w:rFonts w:ascii="Garamond" w:eastAsia="Times New Roman" w:hAnsi="Garamond" w:cs="Arial"/>
          <w:sz w:val="24"/>
          <w:szCs w:val="24"/>
          <w:lang w:eastAsia="fr-FR"/>
        </w:rPr>
        <w:t>Depuis la loi de 1973</w:t>
      </w:r>
      <w:r w:rsidRPr="00A01255">
        <w:rPr>
          <w:rStyle w:val="Appelnotedebasdep"/>
          <w:rFonts w:ascii="Garamond" w:eastAsia="Times New Roman" w:hAnsi="Garamond" w:cs="Arial"/>
          <w:sz w:val="24"/>
          <w:szCs w:val="24"/>
          <w:lang w:eastAsia="fr-FR"/>
        </w:rPr>
        <w:footnoteReference w:id="1"/>
      </w:r>
      <w:r w:rsidRPr="00A01255">
        <w:rPr>
          <w:rFonts w:ascii="Garamond" w:eastAsia="Times New Roman" w:hAnsi="Garamond" w:cs="Arial"/>
          <w:sz w:val="24"/>
          <w:szCs w:val="24"/>
          <w:lang w:eastAsia="fr-FR"/>
        </w:rPr>
        <w:t xml:space="preserve">, </w:t>
      </w:r>
      <w:r w:rsidR="00B6020A">
        <w:rPr>
          <w:rFonts w:ascii="Garamond" w:eastAsia="Times New Roman" w:hAnsi="Garamond" w:cs="Arial"/>
          <w:sz w:val="24"/>
          <w:szCs w:val="24"/>
          <w:lang w:eastAsia="fr-FR"/>
        </w:rPr>
        <w:t>l</w:t>
      </w:r>
      <w:r w:rsidRPr="001C42E3">
        <w:rPr>
          <w:rFonts w:ascii="Garamond" w:eastAsia="Times New Roman" w:hAnsi="Garamond" w:cs="Arial"/>
          <w:sz w:val="24"/>
          <w:szCs w:val="24"/>
          <w:lang w:eastAsia="fr-FR"/>
        </w:rPr>
        <w:t xml:space="preserve">ors d’un licenciement, le salarié est </w:t>
      </w:r>
      <w:r w:rsidRPr="00A01255">
        <w:rPr>
          <w:rFonts w:ascii="Garamond" w:eastAsia="Times New Roman" w:hAnsi="Garamond" w:cs="Arial"/>
          <w:sz w:val="24"/>
          <w:szCs w:val="24"/>
          <w:lang w:eastAsia="fr-FR"/>
        </w:rPr>
        <w:t xml:space="preserve">auparavant </w:t>
      </w:r>
      <w:r w:rsidRPr="001C42E3">
        <w:rPr>
          <w:rFonts w:ascii="Garamond" w:eastAsia="Times New Roman" w:hAnsi="Garamond" w:cs="Arial"/>
          <w:sz w:val="24"/>
          <w:szCs w:val="24"/>
          <w:lang w:eastAsia="fr-FR"/>
        </w:rPr>
        <w:t>convoqué à un entretien préalable</w:t>
      </w:r>
      <w:r w:rsidRPr="00A01255">
        <w:rPr>
          <w:rStyle w:val="Appelnotedebasdep"/>
          <w:rFonts w:ascii="Garamond" w:eastAsia="Times New Roman" w:hAnsi="Garamond" w:cs="Arial"/>
          <w:sz w:val="24"/>
          <w:szCs w:val="24"/>
          <w:lang w:eastAsia="fr-FR"/>
        </w:rPr>
        <w:footnoteReference w:id="2"/>
      </w:r>
      <w:r w:rsidRPr="001C42E3">
        <w:rPr>
          <w:rFonts w:ascii="Garamond" w:eastAsia="Times New Roman" w:hAnsi="Garamond" w:cs="Arial"/>
          <w:sz w:val="24"/>
          <w:szCs w:val="24"/>
          <w:lang w:eastAsia="fr-FR"/>
        </w:rPr>
        <w:t>. Seuls les licenciements de dix salariés ou plus pour motif éc</w:t>
      </w:r>
      <w:r w:rsidRPr="00A01255">
        <w:rPr>
          <w:rFonts w:ascii="Garamond" w:eastAsia="Times New Roman" w:hAnsi="Garamond" w:cs="Arial"/>
          <w:sz w:val="24"/>
          <w:szCs w:val="24"/>
          <w:lang w:eastAsia="fr-FR"/>
        </w:rPr>
        <w:t>onomique sur une période de t</w:t>
      </w:r>
      <w:r w:rsidRPr="001C42E3">
        <w:rPr>
          <w:rFonts w:ascii="Garamond" w:eastAsia="Times New Roman" w:hAnsi="Garamond" w:cs="Arial"/>
          <w:sz w:val="24"/>
          <w:szCs w:val="24"/>
          <w:lang w:eastAsia="fr-FR"/>
        </w:rPr>
        <w:t>rente jours</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ne sont pas soumis à l’obligation d’un entretien préalable</w:t>
      </w:r>
      <w:r w:rsidRPr="00A01255">
        <w:rPr>
          <w:rStyle w:val="Appelnotedebasdep"/>
          <w:rFonts w:ascii="Garamond" w:eastAsia="Times New Roman" w:hAnsi="Garamond" w:cs="Arial"/>
          <w:sz w:val="24"/>
          <w:szCs w:val="24"/>
          <w:lang w:eastAsia="fr-FR"/>
        </w:rPr>
        <w:footnoteReference w:id="3"/>
      </w:r>
      <w:r w:rsidRPr="001C42E3">
        <w:rPr>
          <w:rFonts w:ascii="Garamond" w:eastAsia="Times New Roman" w:hAnsi="Garamond" w:cs="Arial"/>
          <w:sz w:val="24"/>
          <w:szCs w:val="24"/>
          <w:lang w:eastAsia="fr-FR"/>
        </w:rPr>
        <w:t>. Lorsqu’il y a</w:t>
      </w:r>
      <w:r w:rsidRPr="00A01255">
        <w:rPr>
          <w:rFonts w:ascii="Garamond" w:eastAsia="Times New Roman" w:hAnsi="Garamond" w:cs="Arial"/>
          <w:sz w:val="24"/>
          <w:szCs w:val="24"/>
          <w:lang w:eastAsia="fr-FR"/>
        </w:rPr>
        <w:t xml:space="preserve"> d</w:t>
      </w:r>
      <w:r w:rsidRPr="001C42E3">
        <w:rPr>
          <w:rFonts w:ascii="Garamond" w:eastAsia="Times New Roman" w:hAnsi="Garamond" w:cs="Arial"/>
          <w:sz w:val="24"/>
          <w:szCs w:val="24"/>
          <w:lang w:eastAsia="fr-FR"/>
        </w:rPr>
        <w:t>es institutions</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représentatives du personnel dans l’entreprise, le</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salarié convoqué</w:t>
      </w:r>
      <w:r w:rsidRPr="00A01255">
        <w:rPr>
          <w:rFonts w:ascii="Garamond" w:eastAsia="Times New Roman" w:hAnsi="Garamond" w:cs="Arial"/>
          <w:sz w:val="24"/>
          <w:szCs w:val="24"/>
          <w:lang w:eastAsia="fr-FR"/>
        </w:rPr>
        <w:t xml:space="preserve"> p</w:t>
      </w:r>
      <w:r w:rsidRPr="001C42E3">
        <w:rPr>
          <w:rFonts w:ascii="Garamond" w:eastAsia="Times New Roman" w:hAnsi="Garamond" w:cs="Arial"/>
          <w:sz w:val="24"/>
          <w:szCs w:val="24"/>
          <w:lang w:eastAsia="fr-FR"/>
        </w:rPr>
        <w:t>eut se faire</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accompagner lors de cet entretien par une personne</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appartenant</w:t>
      </w:r>
      <w:r w:rsidRPr="00A01255">
        <w:rPr>
          <w:rFonts w:ascii="Garamond" w:eastAsia="Times New Roman" w:hAnsi="Garamond" w:cs="Arial"/>
          <w:sz w:val="24"/>
          <w:szCs w:val="24"/>
          <w:lang w:eastAsia="fr-FR"/>
        </w:rPr>
        <w:t xml:space="preserve"> o</w:t>
      </w:r>
      <w:r w:rsidRPr="001C42E3">
        <w:rPr>
          <w:rFonts w:ascii="Garamond" w:eastAsia="Times New Roman" w:hAnsi="Garamond" w:cs="Arial"/>
          <w:sz w:val="24"/>
          <w:szCs w:val="24"/>
          <w:lang w:eastAsia="fr-FR"/>
        </w:rPr>
        <w:t>bligatoirement au personnel de l’entreprise. Cela peut être un salarié sans mandat,</w:t>
      </w:r>
      <w:r w:rsidRPr="00A01255">
        <w:rPr>
          <w:rFonts w:ascii="Garamond" w:eastAsia="Times New Roman" w:hAnsi="Garamond" w:cs="Arial"/>
          <w:sz w:val="24"/>
          <w:szCs w:val="24"/>
          <w:lang w:eastAsia="fr-FR"/>
        </w:rPr>
        <w:t xml:space="preserve"> o</w:t>
      </w:r>
      <w:r w:rsidRPr="001C42E3">
        <w:rPr>
          <w:rFonts w:ascii="Garamond" w:eastAsia="Times New Roman" w:hAnsi="Garamond" w:cs="Arial"/>
          <w:sz w:val="24"/>
          <w:szCs w:val="24"/>
          <w:lang w:eastAsia="fr-FR"/>
        </w:rPr>
        <w:t>u un membre d’une</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institution représentative du personnel</w:t>
      </w:r>
      <w:r w:rsidRPr="00A01255">
        <w:rPr>
          <w:rStyle w:val="Appelnotedebasdep"/>
          <w:rFonts w:ascii="Garamond" w:eastAsia="Times New Roman" w:hAnsi="Garamond" w:cs="Arial"/>
          <w:sz w:val="24"/>
          <w:szCs w:val="24"/>
          <w:lang w:eastAsia="fr-FR"/>
        </w:rPr>
        <w:footnoteReference w:id="4"/>
      </w:r>
      <w:r w:rsidRPr="001C42E3">
        <w:rPr>
          <w:rFonts w:ascii="Garamond" w:eastAsia="Times New Roman" w:hAnsi="Garamond" w:cs="Arial"/>
          <w:sz w:val="24"/>
          <w:szCs w:val="24"/>
          <w:lang w:eastAsia="fr-FR"/>
        </w:rPr>
        <w:t>. En cas de carence</w:t>
      </w:r>
      <w:r w:rsidRPr="00A01255">
        <w:rPr>
          <w:rStyle w:val="Appelnotedebasdep"/>
          <w:rFonts w:ascii="Garamond" w:eastAsia="Times New Roman" w:hAnsi="Garamond" w:cs="Arial"/>
          <w:sz w:val="24"/>
          <w:szCs w:val="24"/>
          <w:lang w:eastAsia="fr-FR"/>
        </w:rPr>
        <w:footnoteReference w:id="5"/>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ou</w:t>
      </w:r>
      <w:r w:rsidRPr="00A01255">
        <w:rPr>
          <w:rFonts w:ascii="Garamond" w:eastAsia="Times New Roman" w:hAnsi="Garamond" w:cs="Arial"/>
          <w:sz w:val="24"/>
          <w:szCs w:val="24"/>
          <w:lang w:eastAsia="fr-FR"/>
        </w:rPr>
        <w:t xml:space="preserve"> d</w:t>
      </w:r>
      <w:r w:rsidRPr="001C42E3">
        <w:rPr>
          <w:rFonts w:ascii="Garamond" w:eastAsia="Times New Roman" w:hAnsi="Garamond" w:cs="Arial"/>
          <w:sz w:val="24"/>
          <w:szCs w:val="24"/>
          <w:lang w:eastAsia="fr-FR"/>
        </w:rPr>
        <w:t>’absence d’institutions</w:t>
      </w:r>
      <w:r w:rsidRPr="00A01255">
        <w:rPr>
          <w:rFonts w:ascii="Garamond" w:eastAsia="Times New Roman" w:hAnsi="Garamond" w:cs="Arial"/>
          <w:sz w:val="24"/>
          <w:szCs w:val="24"/>
          <w:lang w:eastAsia="fr-FR"/>
        </w:rPr>
        <w:t xml:space="preserve"> </w:t>
      </w:r>
      <w:r w:rsidRPr="001C42E3">
        <w:rPr>
          <w:rFonts w:ascii="Garamond" w:eastAsia="Times New Roman" w:hAnsi="Garamond" w:cs="Arial"/>
          <w:sz w:val="24"/>
          <w:szCs w:val="24"/>
          <w:lang w:eastAsia="fr-FR"/>
        </w:rPr>
        <w:t xml:space="preserve">représentatives du personnel, le salarié peut se faire assister soit par une personne de son </w:t>
      </w:r>
      <w:r w:rsidRPr="00A01255">
        <w:rPr>
          <w:rFonts w:ascii="Garamond" w:eastAsia="Times New Roman" w:hAnsi="Garamond" w:cs="Arial"/>
          <w:sz w:val="24"/>
          <w:szCs w:val="24"/>
          <w:lang w:eastAsia="fr-FR"/>
        </w:rPr>
        <w:t>choix appartenant au personnel de l'entreprise, soit par un conseiller du salarié dont le nom figure dans une liste dressée par l’autorité administrative</w:t>
      </w:r>
      <w:r w:rsidRPr="00A01255">
        <w:rPr>
          <w:rStyle w:val="Appelnotedebasdep"/>
          <w:rFonts w:ascii="Garamond" w:eastAsia="Times New Roman" w:hAnsi="Garamond" w:cs="Arial"/>
          <w:sz w:val="24"/>
          <w:szCs w:val="24"/>
          <w:lang w:eastAsia="fr-FR"/>
        </w:rPr>
        <w:footnoteReference w:id="6"/>
      </w:r>
      <w:r w:rsidRPr="00A01255">
        <w:rPr>
          <w:rFonts w:ascii="Garamond" w:eastAsia="Times New Roman" w:hAnsi="Garamond" w:cs="Arial"/>
          <w:sz w:val="24"/>
          <w:szCs w:val="24"/>
          <w:lang w:eastAsia="fr-FR"/>
        </w:rPr>
        <w:t>.</w:t>
      </w:r>
    </w:p>
    <w:p w:rsidR="00A01255" w:rsidRPr="00A01255" w:rsidRDefault="00A01255" w:rsidP="00A01255">
      <w:pPr>
        <w:spacing w:after="0" w:line="240" w:lineRule="auto"/>
        <w:rPr>
          <w:rFonts w:ascii="Garamond" w:eastAsia="Times New Roman" w:hAnsi="Garamond" w:cs="Arial"/>
          <w:sz w:val="24"/>
          <w:szCs w:val="24"/>
          <w:lang w:eastAsia="fr-FR"/>
        </w:rPr>
      </w:pPr>
    </w:p>
    <w:p w:rsidR="00A01255" w:rsidRPr="00A01255" w:rsidRDefault="000246CE" w:rsidP="00A01255">
      <w:pPr>
        <w:pStyle w:val="Paragraphedeliste"/>
        <w:numPr>
          <w:ilvl w:val="0"/>
          <w:numId w:val="1"/>
        </w:numPr>
        <w:rPr>
          <w:rFonts w:ascii="Garamond" w:hAnsi="Garamond"/>
          <w:sz w:val="24"/>
          <w:szCs w:val="24"/>
        </w:rPr>
      </w:pPr>
      <w:r w:rsidRPr="00A01255">
        <w:rPr>
          <w:rFonts w:ascii="Garamond" w:hAnsi="Garamond"/>
          <w:b/>
          <w:sz w:val="24"/>
          <w:szCs w:val="24"/>
        </w:rPr>
        <w:t xml:space="preserve"> L’employeur personne physique</w:t>
      </w:r>
    </w:p>
    <w:p w:rsidR="00E97EA0" w:rsidRDefault="00E97EA0" w:rsidP="00A01255">
      <w:pPr>
        <w:pStyle w:val="Paragraphedeliste"/>
        <w:ind w:left="0"/>
        <w:rPr>
          <w:rFonts w:ascii="Garamond" w:hAnsi="Garamond"/>
          <w:sz w:val="24"/>
          <w:szCs w:val="24"/>
        </w:rPr>
      </w:pPr>
      <w:r>
        <w:rPr>
          <w:rFonts w:ascii="Garamond" w:hAnsi="Garamond"/>
          <w:sz w:val="24"/>
          <w:szCs w:val="24"/>
        </w:rPr>
        <w:t>Un particulier</w:t>
      </w:r>
      <w:r w:rsidR="009C4478">
        <w:rPr>
          <w:rFonts w:ascii="Garamond" w:hAnsi="Garamond"/>
          <w:sz w:val="24"/>
          <w:szCs w:val="24"/>
        </w:rPr>
        <w:t xml:space="preserve"> </w:t>
      </w:r>
      <w:r w:rsidR="008F6649">
        <w:rPr>
          <w:rFonts w:ascii="Garamond" w:hAnsi="Garamond"/>
          <w:sz w:val="24"/>
          <w:szCs w:val="24"/>
        </w:rPr>
        <w:t>qui emploie un salarié</w:t>
      </w:r>
      <w:r>
        <w:rPr>
          <w:rFonts w:ascii="Garamond" w:hAnsi="Garamond"/>
          <w:sz w:val="24"/>
          <w:szCs w:val="24"/>
        </w:rPr>
        <w:t xml:space="preserve"> </w:t>
      </w:r>
      <w:r w:rsidR="008F6649">
        <w:rPr>
          <w:rFonts w:ascii="Garamond" w:hAnsi="Garamond"/>
          <w:sz w:val="24"/>
          <w:szCs w:val="24"/>
        </w:rPr>
        <w:t>devient</w:t>
      </w:r>
      <w:r>
        <w:rPr>
          <w:rFonts w:ascii="Garamond" w:hAnsi="Garamond"/>
          <w:sz w:val="24"/>
          <w:szCs w:val="24"/>
        </w:rPr>
        <w:t xml:space="preserve"> un employeur même s’il n’a aucune activité commerciale ou associative</w:t>
      </w:r>
      <w:r w:rsidR="009C4478">
        <w:rPr>
          <w:rStyle w:val="Appelnotedebasdep"/>
          <w:rFonts w:ascii="Garamond" w:hAnsi="Garamond"/>
          <w:sz w:val="24"/>
          <w:szCs w:val="24"/>
        </w:rPr>
        <w:footnoteReference w:id="7"/>
      </w:r>
      <w:r>
        <w:rPr>
          <w:rFonts w:ascii="Garamond" w:hAnsi="Garamond"/>
          <w:sz w:val="24"/>
          <w:szCs w:val="24"/>
        </w:rPr>
        <w:t>.</w:t>
      </w:r>
      <w:r w:rsidR="00464EEF">
        <w:rPr>
          <w:rFonts w:ascii="Garamond" w:hAnsi="Garamond"/>
          <w:sz w:val="24"/>
          <w:szCs w:val="24"/>
        </w:rPr>
        <w:t xml:space="preserve"> </w:t>
      </w:r>
    </w:p>
    <w:p w:rsidR="00A01255" w:rsidRPr="00A01255" w:rsidRDefault="00E80FD0" w:rsidP="00A01255">
      <w:pPr>
        <w:pStyle w:val="Paragraphedeliste"/>
        <w:ind w:left="0"/>
        <w:rPr>
          <w:rFonts w:ascii="Garamond" w:hAnsi="Garamond"/>
          <w:sz w:val="24"/>
          <w:szCs w:val="24"/>
        </w:rPr>
      </w:pPr>
      <w:r>
        <w:rPr>
          <w:rFonts w:ascii="Garamond" w:hAnsi="Garamond"/>
          <w:sz w:val="24"/>
          <w:szCs w:val="24"/>
        </w:rPr>
        <w:t>Si l’employeur personne physique est tenu de convoquer le salarié à un entretien préalable</w:t>
      </w:r>
      <w:r w:rsidR="007750CB">
        <w:rPr>
          <w:rFonts w:ascii="Garamond" w:hAnsi="Garamond"/>
          <w:sz w:val="24"/>
          <w:szCs w:val="24"/>
        </w:rPr>
        <w:t xml:space="preserve"> lors d’un licenciement</w:t>
      </w:r>
      <w:r w:rsidR="00B63983">
        <w:rPr>
          <w:rStyle w:val="Appelnotedebasdep"/>
          <w:rFonts w:ascii="Garamond" w:hAnsi="Garamond"/>
          <w:sz w:val="24"/>
          <w:szCs w:val="24"/>
        </w:rPr>
        <w:footnoteReference w:id="8"/>
      </w:r>
      <w:r>
        <w:rPr>
          <w:rFonts w:ascii="Garamond" w:hAnsi="Garamond"/>
          <w:sz w:val="24"/>
          <w:szCs w:val="24"/>
        </w:rPr>
        <w:t xml:space="preserve">, il ne lui est pas imposé </w:t>
      </w:r>
      <w:r w:rsidR="00E829B3">
        <w:rPr>
          <w:rFonts w:ascii="Garamond" w:hAnsi="Garamond"/>
          <w:sz w:val="24"/>
          <w:szCs w:val="24"/>
        </w:rPr>
        <w:t>de recevoir un conseiller extérieur</w:t>
      </w:r>
      <w:r w:rsidR="00BA0BF0">
        <w:rPr>
          <w:rStyle w:val="Appelnotedebasdep"/>
          <w:rFonts w:ascii="Garamond" w:hAnsi="Garamond"/>
          <w:sz w:val="24"/>
          <w:szCs w:val="24"/>
        </w:rPr>
        <w:footnoteReference w:id="9"/>
      </w:r>
      <w:r w:rsidR="00E829B3">
        <w:rPr>
          <w:rFonts w:ascii="Garamond" w:hAnsi="Garamond"/>
          <w:sz w:val="24"/>
          <w:szCs w:val="24"/>
        </w:rPr>
        <w:t xml:space="preserve">. </w:t>
      </w:r>
      <w:r w:rsidR="00A01255" w:rsidRPr="00A01255">
        <w:rPr>
          <w:rFonts w:ascii="Garamond" w:hAnsi="Garamond"/>
          <w:sz w:val="24"/>
          <w:szCs w:val="24"/>
        </w:rPr>
        <w:t>En effet, l’article L7221-2</w:t>
      </w:r>
      <w:r w:rsidR="00CA0A05">
        <w:rPr>
          <w:rFonts w:ascii="Garamond" w:hAnsi="Garamond"/>
          <w:sz w:val="24"/>
          <w:szCs w:val="24"/>
        </w:rPr>
        <w:t xml:space="preserve"> du Code du travail</w:t>
      </w:r>
      <w:r w:rsidR="00A01255" w:rsidRPr="00A01255">
        <w:rPr>
          <w:rFonts w:ascii="Garamond" w:hAnsi="Garamond"/>
          <w:sz w:val="24"/>
          <w:szCs w:val="24"/>
        </w:rPr>
        <w:t xml:space="preserve"> </w:t>
      </w:r>
      <w:proofErr w:type="gramStart"/>
      <w:r w:rsidR="00F4535A">
        <w:rPr>
          <w:rFonts w:ascii="Garamond" w:hAnsi="Garamond"/>
          <w:sz w:val="24"/>
          <w:szCs w:val="24"/>
        </w:rPr>
        <w:t>dispos</w:t>
      </w:r>
      <w:r w:rsidR="00A01255" w:rsidRPr="00A01255">
        <w:rPr>
          <w:rFonts w:ascii="Garamond" w:hAnsi="Garamond"/>
          <w:sz w:val="24"/>
          <w:szCs w:val="24"/>
        </w:rPr>
        <w:t>e</w:t>
      </w:r>
      <w:proofErr w:type="gramEnd"/>
      <w:r w:rsidR="00A01255" w:rsidRPr="00A01255">
        <w:rPr>
          <w:rFonts w:ascii="Garamond" w:hAnsi="Garamond"/>
          <w:sz w:val="24"/>
          <w:szCs w:val="24"/>
        </w:rPr>
        <w:t xml:space="preserve"> que seules les dispositions relatives au harcèlement, aux congés, au premier mai, et aux visi</w:t>
      </w:r>
      <w:r w:rsidR="00B63983">
        <w:rPr>
          <w:rFonts w:ascii="Garamond" w:hAnsi="Garamond"/>
          <w:sz w:val="24"/>
          <w:szCs w:val="24"/>
        </w:rPr>
        <w:t>tes médicales sont applicables aux employés de maison.</w:t>
      </w:r>
    </w:p>
    <w:p w:rsidR="0066584A" w:rsidRDefault="00D77EB2" w:rsidP="00A01255">
      <w:pPr>
        <w:pStyle w:val="Paragraphedeliste"/>
        <w:ind w:left="0"/>
        <w:rPr>
          <w:rFonts w:ascii="Garamond" w:hAnsi="Garamond"/>
          <w:sz w:val="24"/>
          <w:szCs w:val="24"/>
        </w:rPr>
      </w:pPr>
      <w:r>
        <w:rPr>
          <w:rFonts w:ascii="Garamond" w:hAnsi="Garamond"/>
          <w:sz w:val="24"/>
          <w:szCs w:val="24"/>
        </w:rPr>
        <w:t xml:space="preserve">La Cour de cassation a validé </w:t>
      </w:r>
      <w:r w:rsidR="00F4535A">
        <w:rPr>
          <w:rFonts w:ascii="Garamond" w:hAnsi="Garamond"/>
          <w:sz w:val="24"/>
          <w:szCs w:val="24"/>
        </w:rPr>
        <w:t>l’impossibilité de l’assistance</w:t>
      </w:r>
      <w:r>
        <w:rPr>
          <w:rStyle w:val="Appelnotedebasdep"/>
          <w:rFonts w:ascii="Garamond" w:hAnsi="Garamond"/>
          <w:sz w:val="24"/>
          <w:szCs w:val="24"/>
        </w:rPr>
        <w:footnoteReference w:id="10"/>
      </w:r>
      <w:r w:rsidR="00F4535A">
        <w:rPr>
          <w:rFonts w:ascii="Garamond" w:hAnsi="Garamond"/>
          <w:sz w:val="24"/>
          <w:szCs w:val="24"/>
        </w:rPr>
        <w:t xml:space="preserve"> au motif que cela n’est </w:t>
      </w:r>
      <w:r w:rsidR="00833F1F" w:rsidRPr="00833F1F">
        <w:rPr>
          <w:rFonts w:ascii="Garamond" w:hAnsi="Garamond"/>
          <w:sz w:val="24"/>
          <w:szCs w:val="24"/>
        </w:rPr>
        <w:t xml:space="preserve">applicable uniquement </w:t>
      </w:r>
      <w:r w:rsidR="00F4535A">
        <w:rPr>
          <w:rFonts w:ascii="Garamond" w:hAnsi="Garamond"/>
          <w:sz w:val="24"/>
          <w:szCs w:val="24"/>
        </w:rPr>
        <w:t>qu’</w:t>
      </w:r>
      <w:r w:rsidR="00833F1F" w:rsidRPr="00833F1F">
        <w:rPr>
          <w:rFonts w:ascii="Garamond" w:hAnsi="Garamond"/>
          <w:sz w:val="24"/>
          <w:szCs w:val="24"/>
        </w:rPr>
        <w:t>au personn</w:t>
      </w:r>
      <w:r w:rsidR="00833F1F">
        <w:rPr>
          <w:rFonts w:ascii="Garamond" w:hAnsi="Garamond"/>
          <w:sz w:val="24"/>
          <w:szCs w:val="24"/>
        </w:rPr>
        <w:t>el des entreprises</w:t>
      </w:r>
      <w:r w:rsidR="00D40A26">
        <w:rPr>
          <w:rFonts w:ascii="Garamond" w:hAnsi="Garamond"/>
          <w:sz w:val="24"/>
          <w:szCs w:val="24"/>
        </w:rPr>
        <w:t xml:space="preserve"> </w:t>
      </w:r>
      <w:r w:rsidR="00833F1F">
        <w:rPr>
          <w:rFonts w:ascii="Garamond" w:hAnsi="Garamond"/>
          <w:sz w:val="24"/>
          <w:szCs w:val="24"/>
        </w:rPr>
        <w:t xml:space="preserve">et </w:t>
      </w:r>
      <w:r w:rsidR="00833F1F" w:rsidRPr="00833F1F">
        <w:rPr>
          <w:rFonts w:ascii="Garamond" w:hAnsi="Garamond"/>
          <w:sz w:val="24"/>
          <w:szCs w:val="24"/>
        </w:rPr>
        <w:t xml:space="preserve">ne s'applique </w:t>
      </w:r>
      <w:r w:rsidR="00D40A26">
        <w:rPr>
          <w:rFonts w:ascii="Garamond" w:hAnsi="Garamond"/>
          <w:sz w:val="24"/>
          <w:szCs w:val="24"/>
        </w:rPr>
        <w:t xml:space="preserve">donc </w:t>
      </w:r>
      <w:r w:rsidR="00833F1F" w:rsidRPr="00833F1F">
        <w:rPr>
          <w:rFonts w:ascii="Garamond" w:hAnsi="Garamond"/>
          <w:sz w:val="24"/>
          <w:szCs w:val="24"/>
        </w:rPr>
        <w:t>pas au personnel employé de maison</w:t>
      </w:r>
      <w:r w:rsidR="00C855A2">
        <w:rPr>
          <w:rStyle w:val="Appelnotedebasdep"/>
          <w:rFonts w:ascii="Garamond" w:hAnsi="Garamond"/>
          <w:sz w:val="24"/>
          <w:szCs w:val="24"/>
        </w:rPr>
        <w:footnoteReference w:id="11"/>
      </w:r>
      <w:r w:rsidR="00D40A26">
        <w:rPr>
          <w:rFonts w:ascii="Garamond" w:hAnsi="Garamond"/>
          <w:sz w:val="24"/>
          <w:szCs w:val="24"/>
        </w:rPr>
        <w:t xml:space="preserve"> </w:t>
      </w:r>
      <w:r w:rsidR="00D40A26">
        <w:rPr>
          <w:rStyle w:val="Appelnotedebasdep"/>
          <w:rFonts w:ascii="Garamond" w:hAnsi="Garamond"/>
          <w:sz w:val="24"/>
          <w:szCs w:val="24"/>
        </w:rPr>
        <w:footnoteReference w:id="12"/>
      </w:r>
      <w:r w:rsidR="0006345D">
        <w:rPr>
          <w:rFonts w:ascii="Garamond" w:hAnsi="Garamond"/>
          <w:sz w:val="24"/>
          <w:szCs w:val="24"/>
        </w:rPr>
        <w:t xml:space="preserve"> </w:t>
      </w:r>
      <w:r w:rsidR="0006345D">
        <w:rPr>
          <w:rStyle w:val="Appelnotedebasdep"/>
          <w:rFonts w:ascii="Garamond" w:hAnsi="Garamond"/>
          <w:sz w:val="24"/>
          <w:szCs w:val="24"/>
        </w:rPr>
        <w:footnoteReference w:id="13"/>
      </w:r>
      <w:r w:rsidR="00833F1F">
        <w:rPr>
          <w:rFonts w:ascii="Garamond" w:hAnsi="Garamond"/>
          <w:sz w:val="24"/>
          <w:szCs w:val="24"/>
        </w:rPr>
        <w:t xml:space="preserve">. </w:t>
      </w:r>
      <w:r w:rsidR="00065DA7">
        <w:rPr>
          <w:rFonts w:ascii="Garamond" w:hAnsi="Garamond"/>
          <w:sz w:val="24"/>
          <w:szCs w:val="24"/>
        </w:rPr>
        <w:t xml:space="preserve">Cette </w:t>
      </w:r>
      <w:r w:rsidR="00E50084">
        <w:rPr>
          <w:rFonts w:ascii="Garamond" w:hAnsi="Garamond"/>
          <w:sz w:val="24"/>
          <w:szCs w:val="24"/>
        </w:rPr>
        <w:t xml:space="preserve">décision s’appuie </w:t>
      </w:r>
      <w:r w:rsidR="00B379C4">
        <w:rPr>
          <w:rFonts w:ascii="Garamond" w:hAnsi="Garamond"/>
          <w:sz w:val="24"/>
          <w:szCs w:val="24"/>
        </w:rPr>
        <w:t>implicitement</w:t>
      </w:r>
      <w:r w:rsidR="00E50084">
        <w:rPr>
          <w:rStyle w:val="Appelnotedebasdep"/>
          <w:rFonts w:ascii="Garamond" w:hAnsi="Garamond"/>
          <w:sz w:val="24"/>
          <w:szCs w:val="24"/>
        </w:rPr>
        <w:footnoteReference w:id="14"/>
      </w:r>
      <w:r w:rsidR="00E50084">
        <w:rPr>
          <w:rFonts w:ascii="Garamond" w:hAnsi="Garamond"/>
          <w:sz w:val="24"/>
          <w:szCs w:val="24"/>
        </w:rPr>
        <w:t xml:space="preserve"> sur</w:t>
      </w:r>
      <w:r w:rsidR="00065DA7">
        <w:rPr>
          <w:rFonts w:ascii="Garamond" w:hAnsi="Garamond"/>
          <w:sz w:val="24"/>
          <w:szCs w:val="24"/>
        </w:rPr>
        <w:t xml:space="preserve"> l</w:t>
      </w:r>
      <w:r w:rsidR="00833F1F">
        <w:rPr>
          <w:rFonts w:ascii="Garamond" w:hAnsi="Garamond"/>
          <w:sz w:val="24"/>
          <w:szCs w:val="24"/>
        </w:rPr>
        <w:t xml:space="preserve">’article 2 de la Déclaration des droits de l’homme et du citoyen </w:t>
      </w:r>
      <w:r w:rsidR="00065DA7">
        <w:rPr>
          <w:rFonts w:ascii="Garamond" w:hAnsi="Garamond"/>
          <w:sz w:val="24"/>
          <w:szCs w:val="24"/>
        </w:rPr>
        <w:t>qui stipule</w:t>
      </w:r>
      <w:r w:rsidR="00833F1F">
        <w:rPr>
          <w:rFonts w:ascii="Garamond" w:hAnsi="Garamond"/>
          <w:sz w:val="24"/>
          <w:szCs w:val="24"/>
        </w:rPr>
        <w:t xml:space="preserve"> que </w:t>
      </w:r>
      <w:r w:rsidR="005D4FCB">
        <w:rPr>
          <w:rFonts w:ascii="Garamond" w:hAnsi="Garamond"/>
          <w:sz w:val="24"/>
          <w:szCs w:val="24"/>
        </w:rPr>
        <w:t>la propriété est un droit imprescriptible. Le préambule de la Constitution de 1958 renvoie dans son article premier à la Déclaration de 1789.</w:t>
      </w:r>
      <w:r w:rsidR="00C855A2">
        <w:rPr>
          <w:rFonts w:ascii="Garamond" w:hAnsi="Garamond"/>
          <w:sz w:val="24"/>
          <w:szCs w:val="24"/>
        </w:rPr>
        <w:t xml:space="preserve"> </w:t>
      </w:r>
      <w:r w:rsidR="005D4FCB">
        <w:rPr>
          <w:rFonts w:ascii="Garamond" w:hAnsi="Garamond"/>
          <w:sz w:val="24"/>
          <w:szCs w:val="24"/>
        </w:rPr>
        <w:t>Cette dernière a</w:t>
      </w:r>
      <w:r w:rsidR="00C855A2">
        <w:rPr>
          <w:rFonts w:ascii="Garamond" w:hAnsi="Garamond"/>
          <w:sz w:val="24"/>
          <w:szCs w:val="24"/>
        </w:rPr>
        <w:t xml:space="preserve"> donc valeur constitutionnelle et est pleinement intégrée au bloc de constitutionnalité</w:t>
      </w:r>
      <w:r w:rsidR="00C855A2">
        <w:rPr>
          <w:rStyle w:val="Appelnotedebasdep"/>
          <w:rFonts w:ascii="Garamond" w:hAnsi="Garamond"/>
          <w:sz w:val="24"/>
          <w:szCs w:val="24"/>
        </w:rPr>
        <w:footnoteReference w:id="15"/>
      </w:r>
      <w:r w:rsidR="00C855A2">
        <w:rPr>
          <w:rFonts w:ascii="Garamond" w:hAnsi="Garamond"/>
          <w:sz w:val="24"/>
          <w:szCs w:val="24"/>
        </w:rPr>
        <w:t xml:space="preserve">. </w:t>
      </w:r>
      <w:r w:rsidR="00B63983">
        <w:rPr>
          <w:rFonts w:ascii="Garamond" w:hAnsi="Garamond"/>
          <w:sz w:val="24"/>
          <w:szCs w:val="24"/>
        </w:rPr>
        <w:t xml:space="preserve">En droit interne, la hiérarchie des normes fait prévaloir les textes constitutionnels avant </w:t>
      </w:r>
      <w:r w:rsidR="00B25280">
        <w:rPr>
          <w:rFonts w:ascii="Garamond" w:hAnsi="Garamond"/>
          <w:sz w:val="24"/>
          <w:szCs w:val="24"/>
        </w:rPr>
        <w:t>les lois. Le droit de propriété</w:t>
      </w:r>
      <w:r w:rsidR="00B63983">
        <w:rPr>
          <w:rFonts w:ascii="Garamond" w:hAnsi="Garamond"/>
          <w:sz w:val="24"/>
          <w:szCs w:val="24"/>
        </w:rPr>
        <w:t xml:space="preserve"> </w:t>
      </w:r>
      <w:r w:rsidR="00B25280">
        <w:rPr>
          <w:rFonts w:ascii="Garamond" w:hAnsi="Garamond"/>
          <w:sz w:val="24"/>
          <w:szCs w:val="24"/>
        </w:rPr>
        <w:t>(</w:t>
      </w:r>
      <w:r w:rsidR="00B63983">
        <w:rPr>
          <w:rFonts w:ascii="Garamond" w:hAnsi="Garamond"/>
          <w:sz w:val="24"/>
          <w:szCs w:val="24"/>
        </w:rPr>
        <w:t>au sens large, car même un locataire peut être concerné</w:t>
      </w:r>
      <w:r w:rsidR="00B25280">
        <w:rPr>
          <w:rFonts w:ascii="Garamond" w:hAnsi="Garamond"/>
          <w:sz w:val="24"/>
          <w:szCs w:val="24"/>
        </w:rPr>
        <w:t>)</w:t>
      </w:r>
      <w:r w:rsidR="00B63983">
        <w:rPr>
          <w:rFonts w:ascii="Garamond" w:hAnsi="Garamond"/>
          <w:sz w:val="24"/>
          <w:szCs w:val="24"/>
        </w:rPr>
        <w:t xml:space="preserve"> prévaut donc sur le droit de se faire assister. C’est la notion de l’inviolabilité du domicile, garanti également par l’article 66 de la Constitution</w:t>
      </w:r>
      <w:r w:rsidR="00EB737E">
        <w:rPr>
          <w:rStyle w:val="Appelnotedebasdep"/>
          <w:rFonts w:ascii="Garamond" w:hAnsi="Garamond"/>
          <w:sz w:val="24"/>
          <w:szCs w:val="24"/>
        </w:rPr>
        <w:footnoteReference w:id="16"/>
      </w:r>
      <w:r w:rsidR="00B63983">
        <w:rPr>
          <w:rFonts w:ascii="Garamond" w:hAnsi="Garamond"/>
          <w:sz w:val="24"/>
          <w:szCs w:val="24"/>
        </w:rPr>
        <w:t>.</w:t>
      </w:r>
    </w:p>
    <w:p w:rsidR="006936FD" w:rsidRDefault="006936FD" w:rsidP="00A01255">
      <w:pPr>
        <w:pStyle w:val="Paragraphedeliste"/>
        <w:ind w:left="0"/>
        <w:rPr>
          <w:rFonts w:ascii="Garamond" w:hAnsi="Garamond"/>
          <w:sz w:val="24"/>
          <w:szCs w:val="24"/>
        </w:rPr>
      </w:pPr>
      <w:r>
        <w:rPr>
          <w:rFonts w:ascii="Garamond" w:hAnsi="Garamond"/>
          <w:sz w:val="24"/>
          <w:szCs w:val="24"/>
        </w:rPr>
        <w:t>De plus, la convention collective en vigueur</w:t>
      </w:r>
      <w:r w:rsidR="008D2F01">
        <w:rPr>
          <w:rStyle w:val="Appelnotedebasdep"/>
          <w:rFonts w:ascii="Garamond" w:hAnsi="Garamond"/>
          <w:sz w:val="24"/>
          <w:szCs w:val="24"/>
        </w:rPr>
        <w:footnoteReference w:id="17"/>
      </w:r>
      <w:r>
        <w:rPr>
          <w:rFonts w:ascii="Garamond" w:hAnsi="Garamond"/>
          <w:sz w:val="24"/>
          <w:szCs w:val="24"/>
        </w:rPr>
        <w:t xml:space="preserve"> indique que ‘</w:t>
      </w:r>
      <w:r w:rsidRPr="00A01255">
        <w:rPr>
          <w:rFonts w:ascii="Garamond" w:hAnsi="Garamond"/>
          <w:sz w:val="24"/>
          <w:szCs w:val="24"/>
        </w:rPr>
        <w:t>Le particulier employeur n’étant pas une entreprise et le lieu de travail étant son domicile privé</w:t>
      </w:r>
      <w:r w:rsidR="00493505">
        <w:rPr>
          <w:rStyle w:val="Appelnotedebasdep"/>
          <w:rFonts w:ascii="Garamond" w:hAnsi="Garamond"/>
          <w:sz w:val="24"/>
          <w:szCs w:val="24"/>
        </w:rPr>
        <w:footnoteReference w:id="18"/>
      </w:r>
      <w:r w:rsidRPr="00A01255">
        <w:rPr>
          <w:rFonts w:ascii="Garamond" w:hAnsi="Garamond"/>
          <w:sz w:val="24"/>
          <w:szCs w:val="24"/>
        </w:rPr>
        <w:t xml:space="preserve">, les règles de procédure spécifiques au licenciement économique et celles relatives à l’assistance du salarié par un conseiller lors de </w:t>
      </w:r>
      <w:r w:rsidRPr="00A01255">
        <w:rPr>
          <w:rFonts w:ascii="Garamond" w:hAnsi="Garamond"/>
          <w:sz w:val="24"/>
          <w:szCs w:val="24"/>
        </w:rPr>
        <w:lastRenderedPageBreak/>
        <w:t>l’entretien préalable ne sont pas applicables</w:t>
      </w:r>
      <w:r>
        <w:rPr>
          <w:rFonts w:ascii="Garamond" w:hAnsi="Garamond"/>
          <w:sz w:val="24"/>
          <w:szCs w:val="24"/>
        </w:rPr>
        <w:t>’</w:t>
      </w:r>
      <w:r w:rsidRPr="00A01255">
        <w:rPr>
          <w:rFonts w:ascii="Garamond" w:hAnsi="Garamond"/>
          <w:sz w:val="24"/>
          <w:szCs w:val="24"/>
        </w:rPr>
        <w:t>.</w:t>
      </w:r>
      <w:r w:rsidR="00650B7A">
        <w:rPr>
          <w:rFonts w:ascii="Garamond" w:hAnsi="Garamond"/>
          <w:sz w:val="24"/>
          <w:szCs w:val="24"/>
        </w:rPr>
        <w:br/>
      </w:r>
      <w:r w:rsidR="005A3A87">
        <w:rPr>
          <w:rFonts w:ascii="Garamond" w:hAnsi="Garamond"/>
          <w:sz w:val="24"/>
          <w:szCs w:val="24"/>
        </w:rPr>
        <w:t xml:space="preserve"> </w:t>
      </w:r>
      <w:r w:rsidR="00650B7A">
        <w:rPr>
          <w:rFonts w:ascii="Garamond" w:hAnsi="Garamond"/>
          <w:sz w:val="24"/>
          <w:szCs w:val="24"/>
        </w:rPr>
        <w:t xml:space="preserve"> </w:t>
      </w:r>
    </w:p>
    <w:p w:rsidR="00A5173F" w:rsidRPr="00F115CC" w:rsidRDefault="00BA3236" w:rsidP="00A01255">
      <w:pPr>
        <w:pStyle w:val="Paragraphedeliste"/>
        <w:ind w:left="0"/>
        <w:rPr>
          <w:rFonts w:ascii="Garamond" w:hAnsi="Garamond"/>
          <w:sz w:val="24"/>
          <w:szCs w:val="24"/>
        </w:rPr>
      </w:pPr>
      <w:r w:rsidRPr="00BA3236">
        <w:rPr>
          <w:rFonts w:ascii="Garamond" w:hAnsi="Garamond"/>
          <w:sz w:val="24"/>
          <w:szCs w:val="24"/>
          <w:u w:val="single"/>
        </w:rPr>
        <w:t>Droit européen</w:t>
      </w:r>
      <w:r>
        <w:rPr>
          <w:rFonts w:ascii="Garamond" w:hAnsi="Garamond"/>
          <w:sz w:val="24"/>
          <w:szCs w:val="24"/>
        </w:rPr>
        <w:br/>
      </w:r>
      <w:r w:rsidR="00432800">
        <w:rPr>
          <w:rFonts w:ascii="Garamond" w:hAnsi="Garamond"/>
          <w:sz w:val="24"/>
          <w:szCs w:val="24"/>
        </w:rPr>
        <w:t>Tout</w:t>
      </w:r>
      <w:r w:rsidR="00F436CD">
        <w:rPr>
          <w:rFonts w:ascii="Garamond" w:hAnsi="Garamond"/>
          <w:sz w:val="24"/>
          <w:szCs w:val="24"/>
        </w:rPr>
        <w:t xml:space="preserve"> salarié</w:t>
      </w:r>
      <w:r w:rsidR="00432800">
        <w:rPr>
          <w:rFonts w:ascii="Garamond" w:hAnsi="Garamond"/>
          <w:sz w:val="24"/>
          <w:szCs w:val="24"/>
        </w:rPr>
        <w:t>, quel que soit son sexe,</w:t>
      </w:r>
      <w:r w:rsidR="00F436CD">
        <w:rPr>
          <w:rFonts w:ascii="Garamond" w:hAnsi="Garamond"/>
          <w:sz w:val="24"/>
          <w:szCs w:val="24"/>
        </w:rPr>
        <w:t xml:space="preserve"> convoqué à un entretien préalable au licenciement, s’il perd ce droit de se faire assister, </w:t>
      </w:r>
      <w:r w:rsidR="00542DBF">
        <w:rPr>
          <w:rFonts w:ascii="Garamond" w:hAnsi="Garamond"/>
          <w:sz w:val="24"/>
          <w:szCs w:val="24"/>
        </w:rPr>
        <w:t>se fait aussi dépouiller de</w:t>
      </w:r>
      <w:r w:rsidR="00F436CD">
        <w:rPr>
          <w:rFonts w:ascii="Garamond" w:hAnsi="Garamond"/>
          <w:sz w:val="24"/>
          <w:szCs w:val="24"/>
        </w:rPr>
        <w:t xml:space="preserve"> l’équité</w:t>
      </w:r>
      <w:r w:rsidR="001C67E4">
        <w:rPr>
          <w:rFonts w:ascii="Garamond" w:hAnsi="Garamond"/>
          <w:sz w:val="24"/>
          <w:szCs w:val="24"/>
        </w:rPr>
        <w:t xml:space="preserve"> à laquelle</w:t>
      </w:r>
      <w:r w:rsidR="00F436CD">
        <w:rPr>
          <w:rFonts w:ascii="Garamond" w:hAnsi="Garamond"/>
          <w:sz w:val="24"/>
          <w:szCs w:val="24"/>
        </w:rPr>
        <w:t xml:space="preserve"> il a droit en application de l’article 6</w:t>
      </w:r>
      <w:r w:rsidR="00D41CC0">
        <w:rPr>
          <w:rFonts w:ascii="Garamond" w:hAnsi="Garamond"/>
          <w:sz w:val="24"/>
          <w:szCs w:val="24"/>
        </w:rPr>
        <w:t>.</w:t>
      </w:r>
      <w:r w:rsidR="00E16DF0">
        <w:rPr>
          <w:rFonts w:ascii="Garamond" w:hAnsi="Garamond"/>
          <w:sz w:val="24"/>
          <w:szCs w:val="24"/>
        </w:rPr>
        <w:t>1</w:t>
      </w:r>
      <w:r w:rsidR="00D41CC0">
        <w:rPr>
          <w:rFonts w:ascii="Garamond" w:hAnsi="Garamond"/>
          <w:sz w:val="24"/>
          <w:szCs w:val="24"/>
        </w:rPr>
        <w:t xml:space="preserve"> de la </w:t>
      </w:r>
      <w:r w:rsidR="00D41CC0" w:rsidRPr="00D41CC0">
        <w:rPr>
          <w:rFonts w:ascii="Garamond" w:hAnsi="Garamond"/>
          <w:sz w:val="24"/>
          <w:szCs w:val="24"/>
        </w:rPr>
        <w:t>Convention européenne des Droits de l’Homme</w:t>
      </w:r>
      <w:r w:rsidR="00D41CC0">
        <w:rPr>
          <w:rFonts w:ascii="Garamond" w:hAnsi="Garamond"/>
          <w:sz w:val="24"/>
          <w:szCs w:val="24"/>
        </w:rPr>
        <w:t xml:space="preserve">. </w:t>
      </w:r>
      <w:r w:rsidR="00CE34F5">
        <w:rPr>
          <w:rFonts w:ascii="Garamond" w:hAnsi="Garamond"/>
          <w:sz w:val="24"/>
          <w:szCs w:val="24"/>
        </w:rPr>
        <w:t xml:space="preserve">La Cour européenne des droits de l’homme considère que cet article s’applique </w:t>
      </w:r>
      <w:r w:rsidR="00CE75EB">
        <w:rPr>
          <w:rFonts w:ascii="Garamond" w:hAnsi="Garamond"/>
          <w:sz w:val="24"/>
          <w:szCs w:val="24"/>
        </w:rPr>
        <w:t xml:space="preserve">également </w:t>
      </w:r>
      <w:r w:rsidR="00CE34F5">
        <w:rPr>
          <w:rFonts w:ascii="Garamond" w:hAnsi="Garamond"/>
          <w:sz w:val="24"/>
          <w:szCs w:val="24"/>
        </w:rPr>
        <w:t>aux procédures de licenciement</w:t>
      </w:r>
      <w:r w:rsidR="008D2F01">
        <w:rPr>
          <w:rStyle w:val="Appelnotedebasdep"/>
          <w:rFonts w:ascii="Garamond" w:hAnsi="Garamond"/>
          <w:sz w:val="24"/>
          <w:szCs w:val="24"/>
        </w:rPr>
        <w:footnoteReference w:id="19"/>
      </w:r>
      <w:r w:rsidR="002A7CB4">
        <w:rPr>
          <w:rFonts w:ascii="Garamond" w:hAnsi="Garamond"/>
          <w:sz w:val="24"/>
          <w:szCs w:val="24"/>
        </w:rPr>
        <w:t xml:space="preserve"> </w:t>
      </w:r>
      <w:r w:rsidR="002A7CB4">
        <w:rPr>
          <w:rStyle w:val="Appelnotedebasdep"/>
          <w:rFonts w:ascii="Garamond" w:hAnsi="Garamond"/>
          <w:sz w:val="24"/>
          <w:szCs w:val="24"/>
        </w:rPr>
        <w:footnoteReference w:id="20"/>
      </w:r>
      <w:r w:rsidR="00CE34F5">
        <w:rPr>
          <w:rFonts w:ascii="Garamond" w:hAnsi="Garamond"/>
          <w:sz w:val="24"/>
          <w:szCs w:val="24"/>
        </w:rPr>
        <w:t xml:space="preserve">. </w:t>
      </w:r>
      <w:r w:rsidR="0006345D">
        <w:rPr>
          <w:rFonts w:ascii="Garamond" w:hAnsi="Garamond"/>
          <w:sz w:val="24"/>
          <w:szCs w:val="24"/>
        </w:rPr>
        <w:br/>
        <w:t>En ce qui concerne les employés de maison, en France, la CESDH n’a eu à se prononcer que sur</w:t>
      </w:r>
      <w:r w:rsidR="00006D9D">
        <w:rPr>
          <w:rFonts w:ascii="Garamond" w:hAnsi="Garamond"/>
          <w:sz w:val="24"/>
          <w:szCs w:val="24"/>
        </w:rPr>
        <w:t xml:space="preserve"> </w:t>
      </w:r>
      <w:r w:rsidR="0006345D" w:rsidRPr="00F115CC">
        <w:rPr>
          <w:rFonts w:ascii="Garamond" w:hAnsi="Garamond"/>
          <w:sz w:val="24"/>
          <w:szCs w:val="24"/>
        </w:rPr>
        <w:t>la notion de travail forcé</w:t>
      </w:r>
      <w:r w:rsidR="0006345D" w:rsidRPr="00F115CC">
        <w:rPr>
          <w:rStyle w:val="Appelnotedebasdep"/>
          <w:rFonts w:ascii="Garamond" w:hAnsi="Garamond"/>
          <w:sz w:val="24"/>
          <w:szCs w:val="24"/>
        </w:rPr>
        <w:footnoteReference w:id="21"/>
      </w:r>
      <w:r w:rsidR="0006345D" w:rsidRPr="00F115CC">
        <w:rPr>
          <w:rFonts w:ascii="Garamond" w:hAnsi="Garamond"/>
          <w:sz w:val="24"/>
          <w:szCs w:val="24"/>
        </w:rPr>
        <w:t>. La question de l’assistance pourrait alors être soulevée jusqu’à cette instance</w:t>
      </w:r>
      <w:r w:rsidR="00220ED4" w:rsidRPr="00F115CC">
        <w:rPr>
          <w:rFonts w:ascii="Garamond" w:hAnsi="Garamond"/>
          <w:sz w:val="24"/>
          <w:szCs w:val="24"/>
        </w:rPr>
        <w:t xml:space="preserve">, pour un licenciement d’un employé de maison. </w:t>
      </w:r>
    </w:p>
    <w:p w:rsidR="00833F1F" w:rsidRPr="00F115CC" w:rsidRDefault="00220ED4" w:rsidP="00A01255">
      <w:pPr>
        <w:pStyle w:val="Paragraphedeliste"/>
        <w:ind w:left="0"/>
        <w:rPr>
          <w:rFonts w:ascii="Garamond" w:hAnsi="Garamond"/>
          <w:sz w:val="24"/>
          <w:szCs w:val="24"/>
        </w:rPr>
      </w:pPr>
      <w:r w:rsidRPr="00F115CC">
        <w:rPr>
          <w:rFonts w:ascii="Garamond" w:hAnsi="Garamond"/>
          <w:sz w:val="24"/>
          <w:szCs w:val="24"/>
        </w:rPr>
        <w:t>Ou plutôt d’une employée, car le personnel visé est très majoritairement féminin.</w:t>
      </w:r>
    </w:p>
    <w:p w:rsidR="00220ED4" w:rsidRPr="00F115CC" w:rsidRDefault="00220ED4" w:rsidP="00A01255">
      <w:pPr>
        <w:pStyle w:val="Paragraphedeliste"/>
        <w:ind w:left="0"/>
        <w:rPr>
          <w:rFonts w:ascii="Garamond" w:hAnsi="Garamond"/>
          <w:sz w:val="24"/>
          <w:szCs w:val="24"/>
        </w:rPr>
      </w:pPr>
    </w:p>
    <w:p w:rsidR="00B63983" w:rsidRPr="00F115CC" w:rsidRDefault="00336822" w:rsidP="00A01255">
      <w:pPr>
        <w:pStyle w:val="Paragraphedeliste"/>
        <w:ind w:left="0"/>
        <w:rPr>
          <w:rFonts w:ascii="Garamond" w:hAnsi="Garamond"/>
          <w:sz w:val="24"/>
          <w:szCs w:val="24"/>
          <w:u w:val="single"/>
        </w:rPr>
      </w:pPr>
      <w:r w:rsidRPr="00F115CC">
        <w:rPr>
          <w:rFonts w:ascii="Garamond" w:hAnsi="Garamond"/>
          <w:sz w:val="24"/>
          <w:szCs w:val="24"/>
          <w:u w:val="single"/>
        </w:rPr>
        <w:t>Discrimination indirecte</w:t>
      </w:r>
    </w:p>
    <w:p w:rsidR="00E22A64" w:rsidRPr="00F115CC" w:rsidRDefault="00A5173F" w:rsidP="00E22A64">
      <w:pPr>
        <w:pStyle w:val="Paragraphedeliste"/>
        <w:ind w:left="0"/>
        <w:rPr>
          <w:rFonts w:ascii="Garamond" w:hAnsi="Garamond"/>
          <w:sz w:val="24"/>
          <w:szCs w:val="24"/>
        </w:rPr>
      </w:pPr>
      <w:r w:rsidRPr="00F115CC">
        <w:rPr>
          <w:rFonts w:ascii="Garamond" w:hAnsi="Garamond"/>
          <w:sz w:val="24"/>
          <w:szCs w:val="24"/>
        </w:rPr>
        <w:t>Selon la DARES</w:t>
      </w:r>
      <w:r w:rsidRPr="00F115CC">
        <w:rPr>
          <w:rStyle w:val="Appelnotedebasdep"/>
          <w:rFonts w:ascii="Garamond" w:hAnsi="Garamond"/>
          <w:sz w:val="24"/>
          <w:szCs w:val="24"/>
        </w:rPr>
        <w:footnoteReference w:id="22"/>
      </w:r>
      <w:r w:rsidRPr="00F115CC">
        <w:rPr>
          <w:rFonts w:ascii="Garamond" w:hAnsi="Garamond"/>
          <w:sz w:val="24"/>
          <w:szCs w:val="24"/>
        </w:rPr>
        <w:t xml:space="preserve">, </w:t>
      </w:r>
      <w:r w:rsidR="00E22A64" w:rsidRPr="00F115CC">
        <w:rPr>
          <w:rFonts w:ascii="Garamond" w:hAnsi="Garamond"/>
          <w:sz w:val="24"/>
          <w:szCs w:val="24"/>
        </w:rPr>
        <w:t>97,4% des aides à domicile et aides ménagères sont des femmes, et 86,8% des employés de maison</w:t>
      </w:r>
      <w:r w:rsidR="00DE23AE" w:rsidRPr="00F115CC">
        <w:rPr>
          <w:rStyle w:val="Appelnotedebasdep"/>
          <w:rFonts w:ascii="Garamond" w:hAnsi="Garamond"/>
          <w:sz w:val="24"/>
          <w:szCs w:val="24"/>
        </w:rPr>
        <w:footnoteReference w:id="23"/>
      </w:r>
      <w:r w:rsidR="00E22A64" w:rsidRPr="00F115CC">
        <w:rPr>
          <w:rFonts w:ascii="Garamond" w:hAnsi="Garamond"/>
          <w:sz w:val="24"/>
          <w:szCs w:val="24"/>
        </w:rPr>
        <w:t xml:space="preserve">. </w:t>
      </w:r>
      <w:r w:rsidR="00D463CF" w:rsidRPr="00F115CC">
        <w:rPr>
          <w:rFonts w:ascii="Garamond" w:hAnsi="Garamond"/>
          <w:sz w:val="24"/>
          <w:szCs w:val="24"/>
        </w:rPr>
        <w:t>L’observatoire des inégalités trouvent des résultats similaires : 97,7 % des aides à domicile et aides ménagers et assistants maternels</w:t>
      </w:r>
      <w:r w:rsidR="00323A9B">
        <w:rPr>
          <w:rStyle w:val="Appelnotedebasdep"/>
          <w:rFonts w:ascii="Garamond" w:hAnsi="Garamond"/>
          <w:sz w:val="24"/>
          <w:szCs w:val="24"/>
        </w:rPr>
        <w:footnoteReference w:id="24"/>
      </w:r>
      <w:r w:rsidR="00D463CF" w:rsidRPr="00F115CC">
        <w:rPr>
          <w:rFonts w:ascii="Garamond" w:hAnsi="Garamond"/>
          <w:sz w:val="24"/>
          <w:szCs w:val="24"/>
        </w:rPr>
        <w:t xml:space="preserve"> sont des femmes</w:t>
      </w:r>
      <w:r w:rsidR="00D463CF" w:rsidRPr="00F115CC">
        <w:rPr>
          <w:rStyle w:val="Appelnotedebasdep"/>
          <w:rFonts w:ascii="Garamond" w:hAnsi="Garamond"/>
          <w:sz w:val="24"/>
          <w:szCs w:val="24"/>
        </w:rPr>
        <w:footnoteReference w:id="25"/>
      </w:r>
      <w:r w:rsidR="00D463CF" w:rsidRPr="00F115CC">
        <w:rPr>
          <w:rFonts w:ascii="Garamond" w:hAnsi="Garamond"/>
          <w:sz w:val="24"/>
          <w:szCs w:val="24"/>
        </w:rPr>
        <w:t>.</w:t>
      </w:r>
    </w:p>
    <w:p w:rsidR="007F365C" w:rsidRDefault="002A7CB4" w:rsidP="00025DEE">
      <w:pPr>
        <w:pStyle w:val="Paragraphedeliste"/>
        <w:spacing w:before="240"/>
        <w:ind w:left="0"/>
        <w:rPr>
          <w:rFonts w:ascii="Garamond" w:hAnsi="Garamond"/>
          <w:sz w:val="24"/>
          <w:szCs w:val="24"/>
        </w:rPr>
      </w:pPr>
      <w:r w:rsidRPr="00F115CC">
        <w:rPr>
          <w:rFonts w:ascii="Garamond" w:hAnsi="Garamond"/>
          <w:sz w:val="24"/>
          <w:szCs w:val="24"/>
        </w:rPr>
        <w:t xml:space="preserve">Ce sont donc des femmes à plus de 95 % qui sont touchées par des dispositions </w:t>
      </w:r>
      <w:r w:rsidR="00F115CC">
        <w:rPr>
          <w:rFonts w:ascii="Garamond" w:hAnsi="Garamond"/>
          <w:sz w:val="24"/>
          <w:szCs w:val="24"/>
        </w:rPr>
        <w:t xml:space="preserve">apparemment neutres </w:t>
      </w:r>
      <w:r w:rsidRPr="00F115CC">
        <w:rPr>
          <w:rFonts w:ascii="Garamond" w:hAnsi="Garamond"/>
          <w:sz w:val="24"/>
          <w:szCs w:val="24"/>
        </w:rPr>
        <w:t>écartant la possibilité d’une assistance lors d’</w:t>
      </w:r>
      <w:r w:rsidR="00F24C3C">
        <w:rPr>
          <w:rFonts w:ascii="Garamond" w:hAnsi="Garamond"/>
          <w:sz w:val="24"/>
          <w:szCs w:val="24"/>
        </w:rPr>
        <w:t xml:space="preserve">un entretien préalable au licenciement. </w:t>
      </w:r>
    </w:p>
    <w:p w:rsidR="00F24C3C" w:rsidRDefault="00025DEE" w:rsidP="00A01255">
      <w:pPr>
        <w:pStyle w:val="Paragraphedeliste"/>
        <w:ind w:left="0"/>
        <w:rPr>
          <w:rFonts w:ascii="Garamond" w:hAnsi="Garamond"/>
          <w:sz w:val="24"/>
          <w:szCs w:val="24"/>
        </w:rPr>
      </w:pPr>
      <w:r>
        <w:rPr>
          <w:rFonts w:ascii="Garamond" w:hAnsi="Garamond"/>
          <w:sz w:val="24"/>
          <w:szCs w:val="24"/>
        </w:rPr>
        <w:t xml:space="preserve">Les dispositions de droit interne et </w:t>
      </w:r>
      <w:r w:rsidR="00F24C3C">
        <w:rPr>
          <w:rFonts w:ascii="Garamond" w:hAnsi="Garamond"/>
          <w:sz w:val="24"/>
          <w:szCs w:val="24"/>
        </w:rPr>
        <w:t>communautaire prohibent la discrimination indirecte</w:t>
      </w:r>
      <w:r w:rsidR="00F24C3C">
        <w:rPr>
          <w:rStyle w:val="Appelnotedebasdep"/>
          <w:rFonts w:ascii="Garamond" w:hAnsi="Garamond"/>
          <w:sz w:val="24"/>
          <w:szCs w:val="24"/>
        </w:rPr>
        <w:footnoteReference w:id="26"/>
      </w:r>
      <w:r w:rsidR="00F24C3C">
        <w:rPr>
          <w:rFonts w:ascii="Garamond" w:hAnsi="Garamond"/>
          <w:sz w:val="24"/>
          <w:szCs w:val="24"/>
        </w:rPr>
        <w:t xml:space="preserve">. </w:t>
      </w:r>
      <w:r w:rsidR="00940C14">
        <w:rPr>
          <w:rFonts w:ascii="Garamond" w:hAnsi="Garamond"/>
          <w:sz w:val="24"/>
          <w:szCs w:val="24"/>
        </w:rPr>
        <w:t>L</w:t>
      </w:r>
      <w:r w:rsidR="00340C6F">
        <w:rPr>
          <w:rFonts w:ascii="Garamond" w:hAnsi="Garamond"/>
          <w:sz w:val="24"/>
          <w:szCs w:val="24"/>
        </w:rPr>
        <w:t xml:space="preserve">es décisions </w:t>
      </w:r>
      <w:r>
        <w:rPr>
          <w:rFonts w:ascii="Garamond" w:hAnsi="Garamond"/>
          <w:sz w:val="24"/>
          <w:szCs w:val="24"/>
        </w:rPr>
        <w:t>de la Cour de cassation</w:t>
      </w:r>
      <w:r w:rsidR="005C2DB6">
        <w:rPr>
          <w:rStyle w:val="Appelnotedebasdep"/>
          <w:rFonts w:ascii="Garamond" w:hAnsi="Garamond"/>
          <w:sz w:val="24"/>
          <w:szCs w:val="24"/>
        </w:rPr>
        <w:footnoteReference w:id="27"/>
      </w:r>
      <w:r w:rsidR="005C2DB6">
        <w:rPr>
          <w:rFonts w:ascii="Garamond" w:hAnsi="Garamond"/>
          <w:sz w:val="24"/>
          <w:szCs w:val="24"/>
        </w:rPr>
        <w:t xml:space="preserve"> </w:t>
      </w:r>
      <w:r>
        <w:rPr>
          <w:rFonts w:ascii="Garamond" w:hAnsi="Garamond"/>
          <w:sz w:val="24"/>
          <w:szCs w:val="24"/>
        </w:rPr>
        <w:t>et de la CJUE</w:t>
      </w:r>
      <w:r w:rsidR="005C2DB6">
        <w:rPr>
          <w:rStyle w:val="Appelnotedebasdep"/>
          <w:rFonts w:ascii="Garamond" w:hAnsi="Garamond"/>
          <w:sz w:val="24"/>
          <w:szCs w:val="24"/>
        </w:rPr>
        <w:footnoteReference w:id="28"/>
      </w:r>
      <w:r w:rsidR="005C2DB6">
        <w:rPr>
          <w:rFonts w:ascii="Garamond" w:hAnsi="Garamond"/>
          <w:sz w:val="24"/>
          <w:szCs w:val="24"/>
        </w:rPr>
        <w:t xml:space="preserve"> permet</w:t>
      </w:r>
      <w:r w:rsidR="00340C6F">
        <w:rPr>
          <w:rFonts w:ascii="Garamond" w:hAnsi="Garamond"/>
          <w:sz w:val="24"/>
          <w:szCs w:val="24"/>
        </w:rPr>
        <w:t>tent</w:t>
      </w:r>
      <w:r w:rsidR="005C2DB6">
        <w:rPr>
          <w:rFonts w:ascii="Garamond" w:hAnsi="Garamond"/>
          <w:sz w:val="24"/>
          <w:szCs w:val="24"/>
        </w:rPr>
        <w:t xml:space="preserve"> d’affirmer que </w:t>
      </w:r>
      <w:r w:rsidR="00E26924">
        <w:rPr>
          <w:rFonts w:ascii="Garamond" w:hAnsi="Garamond"/>
          <w:sz w:val="24"/>
          <w:szCs w:val="24"/>
        </w:rPr>
        <w:t xml:space="preserve">cette lutte contre la discrimination n’est pas que théorique. </w:t>
      </w:r>
    </w:p>
    <w:p w:rsidR="00F24C3C" w:rsidRPr="00F115CC" w:rsidRDefault="00F24C3C" w:rsidP="00A01255">
      <w:pPr>
        <w:pStyle w:val="Paragraphedeliste"/>
        <w:ind w:left="0"/>
        <w:rPr>
          <w:rFonts w:ascii="Garamond" w:hAnsi="Garamond"/>
          <w:sz w:val="24"/>
          <w:szCs w:val="24"/>
        </w:rPr>
      </w:pPr>
    </w:p>
    <w:p w:rsidR="00A01255" w:rsidRDefault="00A62A72" w:rsidP="00A01255">
      <w:pPr>
        <w:pStyle w:val="Paragraphedeliste"/>
        <w:ind w:left="0"/>
        <w:rPr>
          <w:rFonts w:ascii="Garamond" w:hAnsi="Garamond"/>
          <w:sz w:val="24"/>
          <w:szCs w:val="24"/>
        </w:rPr>
      </w:pPr>
      <w:r>
        <w:rPr>
          <w:rFonts w:ascii="Garamond" w:hAnsi="Garamond"/>
          <w:sz w:val="24"/>
          <w:szCs w:val="24"/>
        </w:rPr>
        <w:t>Les dispositions de l’assistance lors d’un licenciement sont surtout prévues pour les entreprises qui</w:t>
      </w:r>
      <w:r w:rsidR="0026112F">
        <w:rPr>
          <w:rFonts w:ascii="Garamond" w:hAnsi="Garamond"/>
          <w:sz w:val="24"/>
          <w:szCs w:val="24"/>
        </w:rPr>
        <w:t xml:space="preserve"> doivent y faire face quelles que soient la nature de leur locaux. </w:t>
      </w:r>
      <w:r w:rsidR="00D77EB2">
        <w:rPr>
          <w:rFonts w:ascii="Garamond" w:hAnsi="Garamond"/>
          <w:sz w:val="24"/>
          <w:szCs w:val="24"/>
        </w:rPr>
        <w:br/>
      </w:r>
    </w:p>
    <w:p w:rsidR="000246CE" w:rsidRPr="006D235D" w:rsidRDefault="000246CE" w:rsidP="000246CE">
      <w:pPr>
        <w:pStyle w:val="Paragraphedeliste"/>
        <w:numPr>
          <w:ilvl w:val="0"/>
          <w:numId w:val="1"/>
        </w:numPr>
        <w:rPr>
          <w:rFonts w:ascii="Garamond" w:hAnsi="Garamond"/>
          <w:b/>
          <w:sz w:val="24"/>
          <w:szCs w:val="24"/>
        </w:rPr>
      </w:pPr>
      <w:r w:rsidRPr="006D235D">
        <w:rPr>
          <w:rFonts w:ascii="Garamond" w:hAnsi="Garamond"/>
          <w:b/>
          <w:sz w:val="24"/>
          <w:szCs w:val="24"/>
        </w:rPr>
        <w:t>L’employeur personne morale</w:t>
      </w:r>
    </w:p>
    <w:p w:rsidR="009E6182" w:rsidRPr="006D235D" w:rsidRDefault="009402EC" w:rsidP="000246CE">
      <w:pPr>
        <w:rPr>
          <w:rFonts w:ascii="Garamond" w:hAnsi="Garamond"/>
          <w:sz w:val="24"/>
          <w:szCs w:val="24"/>
        </w:rPr>
      </w:pPr>
      <w:r w:rsidRPr="006D235D">
        <w:rPr>
          <w:rFonts w:ascii="Garamond" w:hAnsi="Garamond"/>
          <w:sz w:val="24"/>
          <w:szCs w:val="24"/>
        </w:rPr>
        <w:lastRenderedPageBreak/>
        <w:t>Le Code du travail a été élaboré pour améliorer et unifier les conditions de travail des salariés et de leurs patrons. La quasi-totalité de ces derniers ont le statut de personnes morales, dont les formes les plus répandues sont les entreprises et les associations.</w:t>
      </w:r>
      <w:r w:rsidR="004A64AB" w:rsidRPr="006D235D">
        <w:rPr>
          <w:rFonts w:ascii="Garamond" w:hAnsi="Garamond"/>
          <w:sz w:val="24"/>
          <w:szCs w:val="24"/>
        </w:rPr>
        <w:t xml:space="preserve"> Depuis 1973, lors d’un</w:t>
      </w:r>
      <w:r w:rsidR="00BB1B90" w:rsidRPr="006D235D">
        <w:rPr>
          <w:rFonts w:ascii="Garamond" w:hAnsi="Garamond"/>
          <w:sz w:val="24"/>
          <w:szCs w:val="24"/>
        </w:rPr>
        <w:t xml:space="preserve">e procédure de licenciement engagée contre </w:t>
      </w:r>
      <w:r w:rsidR="004A64AB" w:rsidRPr="006D235D">
        <w:rPr>
          <w:rFonts w:ascii="Garamond" w:hAnsi="Garamond"/>
          <w:sz w:val="24"/>
          <w:szCs w:val="24"/>
        </w:rPr>
        <w:t xml:space="preserve">un salarié pour motif personnel, </w:t>
      </w:r>
      <w:r w:rsidR="00BB1B90" w:rsidRPr="006D235D">
        <w:rPr>
          <w:rFonts w:ascii="Garamond" w:hAnsi="Garamond"/>
          <w:sz w:val="24"/>
          <w:szCs w:val="24"/>
        </w:rPr>
        <w:t>ce dernier peut se faire accompagner par un membre du personnel ou par un délégué</w:t>
      </w:r>
      <w:r w:rsidR="00A55A54" w:rsidRPr="006D235D">
        <w:rPr>
          <w:rStyle w:val="Appelnotedebasdep"/>
          <w:rFonts w:ascii="Garamond" w:hAnsi="Garamond"/>
          <w:sz w:val="24"/>
          <w:szCs w:val="24"/>
        </w:rPr>
        <w:footnoteReference w:id="29"/>
      </w:r>
      <w:r w:rsidR="00BB1B90" w:rsidRPr="006D235D">
        <w:rPr>
          <w:rFonts w:ascii="Garamond" w:hAnsi="Garamond"/>
          <w:sz w:val="24"/>
          <w:szCs w:val="24"/>
        </w:rPr>
        <w:t>.</w:t>
      </w:r>
      <w:r w:rsidR="007A74EB" w:rsidRPr="006D235D">
        <w:rPr>
          <w:rFonts w:ascii="Garamond" w:hAnsi="Garamond"/>
          <w:sz w:val="24"/>
          <w:szCs w:val="24"/>
        </w:rPr>
        <w:t xml:space="preserve"> En l’absence de représentation du personnel, le salarié peut se faire accompagner par un conseiller extérieur à l’entreprise, ce dernier pouvant alors pénétrer dans les locaux. </w:t>
      </w:r>
    </w:p>
    <w:p w:rsidR="00B979BB" w:rsidRPr="00E323BA" w:rsidRDefault="000A57FF" w:rsidP="00931173">
      <w:pPr>
        <w:pStyle w:val="Paragraphedeliste"/>
        <w:ind w:left="0"/>
        <w:rPr>
          <w:rFonts w:ascii="Garamond" w:hAnsi="Garamond"/>
          <w:sz w:val="24"/>
          <w:szCs w:val="24"/>
        </w:rPr>
      </w:pPr>
      <w:r>
        <w:rPr>
          <w:rFonts w:ascii="Garamond" w:hAnsi="Garamond"/>
          <w:sz w:val="24"/>
          <w:szCs w:val="24"/>
        </w:rPr>
        <w:t xml:space="preserve">Si le local qu’utilisent </w:t>
      </w:r>
      <w:r w:rsidR="00B53C8F">
        <w:rPr>
          <w:rFonts w:ascii="Garamond" w:hAnsi="Garamond"/>
          <w:sz w:val="24"/>
          <w:szCs w:val="24"/>
        </w:rPr>
        <w:t xml:space="preserve">les entreprises </w:t>
      </w:r>
      <w:r>
        <w:rPr>
          <w:rFonts w:ascii="Garamond" w:hAnsi="Garamond"/>
          <w:sz w:val="24"/>
          <w:szCs w:val="24"/>
        </w:rPr>
        <w:t xml:space="preserve">relève de la propriété privée, un local à usage professionnel ne relève plus de la qualité de domicile. Il n’y a pas de violation de la vie privée, corollaire du domicile. Les entreprises, même en statut unipersonnel, sont tenues de laisser pénétrer le </w:t>
      </w:r>
      <w:r w:rsidRPr="00E168EA">
        <w:rPr>
          <w:rFonts w:ascii="Garamond" w:hAnsi="Garamond"/>
          <w:sz w:val="24"/>
          <w:szCs w:val="24"/>
        </w:rPr>
        <w:t xml:space="preserve">conseiller du salarié dans les locaux en l’absence d’institutions représentatives du personnel. Cela peut parfois poser quelques soucis à l’employeur lorsque le domicile privé est attenant ou intriqué au local professionnel. </w:t>
      </w:r>
      <w:r w:rsidR="00C548EB" w:rsidRPr="00E168EA">
        <w:rPr>
          <w:rFonts w:ascii="Garamond" w:hAnsi="Garamond"/>
          <w:sz w:val="24"/>
          <w:szCs w:val="24"/>
        </w:rPr>
        <w:t>Le délit d'entrave à l'exercice régulier des fonctions de conseiller du salarié est décrit par l’article L. 1238-1 du Code du travail qui fixe les pénalités. Il est surtout appliqué à l’encontre des employeurs qui empêchent le conseiller du salarié d'exercer sa mission, en</w:t>
      </w:r>
      <w:r w:rsidR="005A3A87" w:rsidRPr="00E168EA">
        <w:rPr>
          <w:rFonts w:ascii="Garamond" w:hAnsi="Garamond"/>
          <w:sz w:val="24"/>
          <w:szCs w:val="24"/>
        </w:rPr>
        <w:t xml:space="preserve"> </w:t>
      </w:r>
      <w:r w:rsidR="00C548EB" w:rsidRPr="00E168EA">
        <w:rPr>
          <w:rFonts w:ascii="Garamond" w:hAnsi="Garamond"/>
          <w:sz w:val="24"/>
          <w:szCs w:val="24"/>
        </w:rPr>
        <w:t>refusant,</w:t>
      </w:r>
      <w:r w:rsidR="005A3A87" w:rsidRPr="00E168EA">
        <w:rPr>
          <w:rFonts w:ascii="Garamond" w:hAnsi="Garamond"/>
          <w:sz w:val="24"/>
          <w:szCs w:val="24"/>
        </w:rPr>
        <w:t xml:space="preserve"> </w:t>
      </w:r>
      <w:r w:rsidR="00C548EB" w:rsidRPr="00E168EA">
        <w:rPr>
          <w:rFonts w:ascii="Garamond" w:hAnsi="Garamond"/>
          <w:sz w:val="24"/>
          <w:szCs w:val="24"/>
        </w:rPr>
        <w:t>par</w:t>
      </w:r>
      <w:r w:rsidR="005A3A87" w:rsidRPr="00E168EA">
        <w:rPr>
          <w:rFonts w:ascii="Garamond" w:hAnsi="Garamond"/>
          <w:sz w:val="24"/>
          <w:szCs w:val="24"/>
        </w:rPr>
        <w:t xml:space="preserve"> </w:t>
      </w:r>
      <w:r w:rsidR="00C548EB" w:rsidRPr="00E168EA">
        <w:rPr>
          <w:rFonts w:ascii="Garamond" w:hAnsi="Garamond"/>
          <w:sz w:val="24"/>
          <w:szCs w:val="24"/>
        </w:rPr>
        <w:t>exemple,</w:t>
      </w:r>
      <w:r w:rsidR="005A3A87" w:rsidRPr="00E168EA">
        <w:rPr>
          <w:rFonts w:ascii="Garamond" w:hAnsi="Garamond"/>
          <w:sz w:val="24"/>
          <w:szCs w:val="24"/>
        </w:rPr>
        <w:t xml:space="preserve"> </w:t>
      </w:r>
      <w:r w:rsidR="00C548EB" w:rsidRPr="00E168EA">
        <w:rPr>
          <w:rFonts w:ascii="Garamond" w:hAnsi="Garamond"/>
          <w:sz w:val="24"/>
          <w:szCs w:val="24"/>
        </w:rPr>
        <w:t>sa</w:t>
      </w:r>
      <w:r w:rsidR="005A3A87" w:rsidRPr="00E168EA">
        <w:rPr>
          <w:rFonts w:ascii="Garamond" w:hAnsi="Garamond"/>
          <w:sz w:val="24"/>
          <w:szCs w:val="24"/>
        </w:rPr>
        <w:t xml:space="preserve"> </w:t>
      </w:r>
      <w:r w:rsidR="00C548EB" w:rsidRPr="00E168EA">
        <w:rPr>
          <w:rFonts w:ascii="Garamond" w:hAnsi="Garamond"/>
          <w:sz w:val="24"/>
          <w:szCs w:val="24"/>
        </w:rPr>
        <w:t>présence</w:t>
      </w:r>
      <w:r w:rsidR="005A3A87" w:rsidRPr="00E168EA">
        <w:rPr>
          <w:rFonts w:ascii="Garamond" w:hAnsi="Garamond"/>
          <w:sz w:val="24"/>
          <w:szCs w:val="24"/>
        </w:rPr>
        <w:t xml:space="preserve"> </w:t>
      </w:r>
      <w:r w:rsidR="00C548EB" w:rsidRPr="00E168EA">
        <w:rPr>
          <w:rFonts w:ascii="Garamond" w:hAnsi="Garamond"/>
          <w:sz w:val="24"/>
          <w:szCs w:val="24"/>
        </w:rPr>
        <w:t>lors</w:t>
      </w:r>
      <w:r w:rsidR="005A3A87" w:rsidRPr="00E168EA">
        <w:rPr>
          <w:rFonts w:ascii="Garamond" w:hAnsi="Garamond"/>
          <w:sz w:val="24"/>
          <w:szCs w:val="24"/>
        </w:rPr>
        <w:t xml:space="preserve"> </w:t>
      </w:r>
      <w:r w:rsidR="00C548EB" w:rsidRPr="00E168EA">
        <w:rPr>
          <w:rFonts w:ascii="Garamond" w:hAnsi="Garamond"/>
          <w:sz w:val="24"/>
          <w:szCs w:val="24"/>
        </w:rPr>
        <w:t>de</w:t>
      </w:r>
      <w:r w:rsidR="005A3A87" w:rsidRPr="00E168EA">
        <w:rPr>
          <w:rFonts w:ascii="Garamond" w:hAnsi="Garamond"/>
          <w:sz w:val="24"/>
          <w:szCs w:val="24"/>
        </w:rPr>
        <w:t xml:space="preserve"> </w:t>
      </w:r>
      <w:r w:rsidR="00C548EB" w:rsidRPr="00E168EA">
        <w:rPr>
          <w:rFonts w:ascii="Garamond" w:hAnsi="Garamond"/>
          <w:sz w:val="24"/>
          <w:szCs w:val="24"/>
        </w:rPr>
        <w:t>l'entretien préalable alors qu'il aurait fait état de sa qualité.</w:t>
      </w:r>
      <w:r w:rsidR="0077734B">
        <w:rPr>
          <w:rFonts w:ascii="Garamond" w:hAnsi="Garamond"/>
          <w:sz w:val="24"/>
          <w:szCs w:val="24"/>
        </w:rPr>
        <w:t xml:space="preserve"> </w:t>
      </w:r>
      <w:r w:rsidR="0077734B">
        <w:rPr>
          <w:rFonts w:ascii="Garamond" w:hAnsi="Garamond"/>
          <w:sz w:val="24"/>
          <w:szCs w:val="24"/>
        </w:rPr>
        <w:br/>
      </w:r>
      <w:r w:rsidR="00E168EA" w:rsidRPr="00E168EA">
        <w:rPr>
          <w:rFonts w:ascii="Garamond" w:hAnsi="Garamond"/>
          <w:sz w:val="24"/>
          <w:szCs w:val="24"/>
        </w:rPr>
        <w:t>Le principe est que l’entretien préalable doit se dérouler sur le lieu d’exécution du contrat de travail ou au siège social de l’entreprise, sans que l’un de ces lieux prime sur l’autre</w:t>
      </w:r>
      <w:r w:rsidR="00E168EA" w:rsidRPr="00E168EA">
        <w:rPr>
          <w:rStyle w:val="Appelnotedebasdep"/>
          <w:rFonts w:ascii="Garamond" w:hAnsi="Garamond"/>
          <w:sz w:val="24"/>
          <w:szCs w:val="24"/>
        </w:rPr>
        <w:footnoteReference w:id="30"/>
      </w:r>
      <w:r w:rsidR="00E168EA" w:rsidRPr="00E168EA">
        <w:rPr>
          <w:rFonts w:ascii="Garamond" w:hAnsi="Garamond"/>
          <w:sz w:val="24"/>
          <w:szCs w:val="24"/>
        </w:rPr>
        <w:t xml:space="preserve">. Il est possible, si l’employeur justifie de </w:t>
      </w:r>
      <w:proofErr w:type="gramStart"/>
      <w:r w:rsidR="00E168EA" w:rsidRPr="00E168EA">
        <w:rPr>
          <w:rFonts w:ascii="Garamond" w:hAnsi="Garamond"/>
          <w:sz w:val="24"/>
          <w:szCs w:val="24"/>
        </w:rPr>
        <w:t>circonstances rendant impossible</w:t>
      </w:r>
      <w:proofErr w:type="gramEnd"/>
      <w:r w:rsidR="00E168EA" w:rsidRPr="00E168EA">
        <w:rPr>
          <w:rFonts w:ascii="Garamond" w:hAnsi="Garamond"/>
          <w:sz w:val="24"/>
          <w:szCs w:val="24"/>
        </w:rPr>
        <w:t xml:space="preserve"> l’organisation de l’entretien préalable au siège social de l’entreprise ou sur le lieu d’exécution du travail, qu’il se déroule dans un autre endroit</w:t>
      </w:r>
      <w:r w:rsidR="00E168EA" w:rsidRPr="00E168EA">
        <w:rPr>
          <w:rStyle w:val="Appelnotedebasdep"/>
          <w:rFonts w:ascii="Garamond" w:hAnsi="Garamond"/>
          <w:sz w:val="24"/>
          <w:szCs w:val="24"/>
        </w:rPr>
        <w:footnoteReference w:id="31"/>
      </w:r>
      <w:r w:rsidR="00E168EA" w:rsidRPr="00E168EA">
        <w:rPr>
          <w:rFonts w:ascii="Garamond" w:hAnsi="Garamond"/>
          <w:sz w:val="24"/>
          <w:szCs w:val="24"/>
        </w:rPr>
        <w:t>.</w:t>
      </w:r>
      <w:r w:rsidR="00B62CFF">
        <w:rPr>
          <w:rFonts w:ascii="Garamond" w:hAnsi="Garamond"/>
          <w:sz w:val="24"/>
          <w:szCs w:val="24"/>
        </w:rPr>
        <w:t xml:space="preserve"> L’employeur étant l’entité qui convoque, le salarié ne peut invoquer le manque de neutralité du lieu de convocation</w:t>
      </w:r>
      <w:r w:rsidR="009730D4">
        <w:rPr>
          <w:rStyle w:val="Appelnotedebasdep"/>
          <w:rFonts w:ascii="Garamond" w:hAnsi="Garamond"/>
          <w:sz w:val="24"/>
          <w:szCs w:val="24"/>
        </w:rPr>
        <w:footnoteReference w:id="32"/>
      </w:r>
      <w:r w:rsidR="00B62CFF">
        <w:rPr>
          <w:rFonts w:ascii="Garamond" w:hAnsi="Garamond"/>
          <w:sz w:val="24"/>
          <w:szCs w:val="24"/>
        </w:rPr>
        <w:t xml:space="preserve">. </w:t>
      </w:r>
      <w:r w:rsidR="00E168EA" w:rsidRPr="00E168EA">
        <w:rPr>
          <w:rFonts w:ascii="Garamond" w:hAnsi="Garamond"/>
          <w:sz w:val="24"/>
          <w:szCs w:val="24"/>
        </w:rPr>
        <w:t>Le lieu de l'entretien préalable est en principe celui où s'exécute le travail ou celui du siège social de l'entreprise. Dans le cas contraire, l'employeur doit justifier la pertine</w:t>
      </w:r>
      <w:r w:rsidR="0030262A">
        <w:rPr>
          <w:rFonts w:ascii="Garamond" w:hAnsi="Garamond"/>
          <w:sz w:val="24"/>
          <w:szCs w:val="24"/>
        </w:rPr>
        <w:t>nce du choix d'un autre lieu.</w:t>
      </w:r>
      <w:r w:rsidR="00267A5D">
        <w:rPr>
          <w:rFonts w:ascii="Garamond" w:hAnsi="Garamond"/>
          <w:sz w:val="24"/>
          <w:szCs w:val="24"/>
        </w:rPr>
        <w:t xml:space="preserve"> Ainsi, la Cour d’appel de Nancy admet que l’entretien préalable puisse avoir lieu </w:t>
      </w:r>
      <w:r w:rsidR="00B979BB">
        <w:rPr>
          <w:rFonts w:ascii="Garamond" w:hAnsi="Garamond"/>
          <w:sz w:val="24"/>
          <w:szCs w:val="24"/>
        </w:rPr>
        <w:t xml:space="preserve">dans le cabinet de l’administrateur judiciaire lors d’une </w:t>
      </w:r>
      <w:r w:rsidR="00B979BB" w:rsidRPr="00E323BA">
        <w:rPr>
          <w:rFonts w:ascii="Garamond" w:hAnsi="Garamond"/>
          <w:sz w:val="24"/>
          <w:szCs w:val="24"/>
        </w:rPr>
        <w:t>procédure collective, car ce lieu est assimilé au siège de l’entreprise</w:t>
      </w:r>
      <w:r w:rsidR="00B979BB" w:rsidRPr="00E323BA">
        <w:rPr>
          <w:rStyle w:val="Appelnotedebasdep"/>
          <w:rFonts w:ascii="Garamond" w:hAnsi="Garamond"/>
          <w:sz w:val="24"/>
          <w:szCs w:val="24"/>
        </w:rPr>
        <w:footnoteReference w:id="33"/>
      </w:r>
      <w:r w:rsidR="00B979BB" w:rsidRPr="00E323BA">
        <w:rPr>
          <w:rFonts w:ascii="Garamond" w:hAnsi="Garamond"/>
          <w:sz w:val="24"/>
          <w:szCs w:val="24"/>
        </w:rPr>
        <w:t xml:space="preserve">. </w:t>
      </w:r>
      <w:r w:rsidR="00511D25" w:rsidRPr="00E323BA">
        <w:rPr>
          <w:rFonts w:ascii="Garamond" w:hAnsi="Garamond"/>
          <w:sz w:val="24"/>
          <w:szCs w:val="24"/>
        </w:rPr>
        <w:br/>
      </w:r>
      <w:r w:rsidR="00B979BB" w:rsidRPr="00E323BA">
        <w:rPr>
          <w:rFonts w:ascii="Garamond" w:hAnsi="Garamond"/>
          <w:sz w:val="24"/>
          <w:szCs w:val="24"/>
        </w:rPr>
        <w:t xml:space="preserve">Le lieu de l’entretien doit permettre un échange serein entre les parties, en préservant la discrétion et la confidentialité des propos, sans circonstances vexatoires pour le salarié. </w:t>
      </w:r>
      <w:r w:rsidR="00D323D0" w:rsidRPr="00E323BA">
        <w:rPr>
          <w:rFonts w:ascii="Garamond" w:hAnsi="Garamond"/>
          <w:sz w:val="24"/>
          <w:szCs w:val="24"/>
        </w:rPr>
        <w:t>Les juges ont</w:t>
      </w:r>
      <w:r w:rsidR="00B979BB" w:rsidRPr="00E323BA">
        <w:rPr>
          <w:rFonts w:ascii="Garamond" w:hAnsi="Garamond"/>
          <w:sz w:val="24"/>
          <w:szCs w:val="24"/>
        </w:rPr>
        <w:t xml:space="preserve"> </w:t>
      </w:r>
      <w:r w:rsidR="00D323D0" w:rsidRPr="00E323BA">
        <w:rPr>
          <w:rFonts w:ascii="Garamond" w:hAnsi="Garamond"/>
          <w:sz w:val="24"/>
          <w:szCs w:val="24"/>
        </w:rPr>
        <w:t>plusieurs fois</w:t>
      </w:r>
      <w:r w:rsidR="00B979BB" w:rsidRPr="00E323BA">
        <w:rPr>
          <w:rFonts w:ascii="Garamond" w:hAnsi="Garamond"/>
          <w:sz w:val="24"/>
          <w:szCs w:val="24"/>
        </w:rPr>
        <w:t xml:space="preserve"> sanctionné l’attitude d’employeurs ayant effectué l’entretien préalable dans </w:t>
      </w:r>
      <w:r w:rsidR="00D323D0" w:rsidRPr="00E323BA">
        <w:rPr>
          <w:rFonts w:ascii="Garamond" w:hAnsi="Garamond"/>
          <w:sz w:val="24"/>
          <w:szCs w:val="24"/>
        </w:rPr>
        <w:t>des endroits dans lesquels des tiers (autres salariés, clients, public) pouvaient tout entendre</w:t>
      </w:r>
      <w:r w:rsidR="00D323D0" w:rsidRPr="00E323BA">
        <w:rPr>
          <w:rStyle w:val="Appelnotedebasdep"/>
          <w:rFonts w:ascii="Garamond" w:hAnsi="Garamond"/>
          <w:sz w:val="24"/>
          <w:szCs w:val="24"/>
        </w:rPr>
        <w:footnoteReference w:id="34"/>
      </w:r>
      <w:r w:rsidR="00D323D0" w:rsidRPr="00E323BA">
        <w:rPr>
          <w:rFonts w:ascii="Garamond" w:hAnsi="Garamond"/>
          <w:sz w:val="24"/>
          <w:szCs w:val="24"/>
        </w:rPr>
        <w:t>.</w:t>
      </w:r>
      <w:r w:rsidR="00B62CFF" w:rsidRPr="00E323BA">
        <w:rPr>
          <w:rFonts w:ascii="Garamond" w:hAnsi="Garamond"/>
          <w:sz w:val="24"/>
          <w:szCs w:val="24"/>
        </w:rPr>
        <w:t xml:space="preserve"> </w:t>
      </w:r>
      <w:r w:rsidR="00963EFA" w:rsidRPr="00E323BA">
        <w:rPr>
          <w:rFonts w:ascii="Garamond" w:hAnsi="Garamond"/>
          <w:sz w:val="24"/>
          <w:szCs w:val="24"/>
        </w:rPr>
        <w:t>Lorsque l’employeur n’a pas de local propre</w:t>
      </w:r>
      <w:r w:rsidR="003B5FE2">
        <w:rPr>
          <w:rStyle w:val="Appelnotedebasdep"/>
          <w:rFonts w:ascii="Garamond" w:hAnsi="Garamond"/>
          <w:sz w:val="24"/>
          <w:szCs w:val="24"/>
        </w:rPr>
        <w:footnoteReference w:id="35"/>
      </w:r>
      <w:r w:rsidR="00963EFA" w:rsidRPr="00E323BA">
        <w:rPr>
          <w:rFonts w:ascii="Garamond" w:hAnsi="Garamond"/>
          <w:sz w:val="24"/>
          <w:szCs w:val="24"/>
        </w:rPr>
        <w:t xml:space="preserve">, il lui est loisible de convoquer le salarié dans un local temporaire comme peuvent l’être les entreprises de domiciliation, les pépinières d’entreprises ou </w:t>
      </w:r>
      <w:r w:rsidR="00963EFA" w:rsidRPr="00E323BA">
        <w:rPr>
          <w:rFonts w:ascii="Garamond" w:hAnsi="Garamond"/>
          <w:sz w:val="24"/>
          <w:szCs w:val="24"/>
        </w:rPr>
        <w:lastRenderedPageBreak/>
        <w:t>les locations de bureaux</w:t>
      </w:r>
      <w:r w:rsidR="00963EFA" w:rsidRPr="00E323BA">
        <w:rPr>
          <w:rStyle w:val="Appelnotedebasdep"/>
          <w:rFonts w:ascii="Garamond" w:hAnsi="Garamond"/>
          <w:sz w:val="24"/>
          <w:szCs w:val="24"/>
        </w:rPr>
        <w:footnoteReference w:id="36"/>
      </w:r>
      <w:r w:rsidR="00963EFA" w:rsidRPr="00E323BA">
        <w:rPr>
          <w:rFonts w:ascii="Garamond" w:hAnsi="Garamond"/>
          <w:sz w:val="24"/>
          <w:szCs w:val="24"/>
        </w:rPr>
        <w:t xml:space="preserve">. </w:t>
      </w:r>
      <w:r w:rsidR="009E4597" w:rsidRPr="00E323BA">
        <w:rPr>
          <w:rFonts w:ascii="Garamond" w:hAnsi="Garamond"/>
          <w:sz w:val="24"/>
          <w:szCs w:val="24"/>
        </w:rPr>
        <w:t>La Cour d’appel de Versailles a même admis que l’entretien pouvait avoir lieu dans un café, du fait de l’indisponibilité des locaux</w:t>
      </w:r>
      <w:r w:rsidR="00245FCF" w:rsidRPr="00E323BA">
        <w:rPr>
          <w:rFonts w:ascii="Garamond" w:hAnsi="Garamond"/>
          <w:sz w:val="24"/>
          <w:szCs w:val="24"/>
        </w:rPr>
        <w:t xml:space="preserve"> et que cela n’avait pas empêché le salarié de s’expliquer</w:t>
      </w:r>
      <w:r w:rsidR="00245FCF" w:rsidRPr="00E323BA">
        <w:rPr>
          <w:rStyle w:val="Appelnotedebasdep"/>
          <w:rFonts w:ascii="Garamond" w:hAnsi="Garamond"/>
          <w:sz w:val="24"/>
          <w:szCs w:val="24"/>
        </w:rPr>
        <w:footnoteReference w:id="37"/>
      </w:r>
      <w:r w:rsidR="00245FCF" w:rsidRPr="00E323BA">
        <w:rPr>
          <w:rFonts w:ascii="Garamond" w:hAnsi="Garamond"/>
          <w:sz w:val="24"/>
          <w:szCs w:val="24"/>
        </w:rPr>
        <w:t>.</w:t>
      </w:r>
      <w:r w:rsidR="003B5FE2">
        <w:rPr>
          <w:rFonts w:ascii="Garamond" w:hAnsi="Garamond"/>
          <w:sz w:val="24"/>
          <w:szCs w:val="24"/>
        </w:rPr>
        <w:t xml:space="preserve"> </w:t>
      </w:r>
    </w:p>
    <w:p w:rsidR="00062B79" w:rsidRDefault="00062B79" w:rsidP="00E168EA">
      <w:pPr>
        <w:rPr>
          <w:rFonts w:ascii="Garamond" w:hAnsi="Garamond"/>
          <w:sz w:val="24"/>
          <w:szCs w:val="24"/>
        </w:rPr>
      </w:pPr>
      <w:r>
        <w:rPr>
          <w:rFonts w:ascii="Garamond" w:hAnsi="Garamond"/>
          <w:sz w:val="24"/>
          <w:szCs w:val="24"/>
        </w:rPr>
        <w:t xml:space="preserve">Peut-on s’inspirer des pratiques des entreprises pour les appliquer aux particuliers employeurs ? </w:t>
      </w:r>
    </w:p>
    <w:p w:rsidR="00332578" w:rsidRDefault="00332578" w:rsidP="00E168EA">
      <w:pPr>
        <w:rPr>
          <w:rFonts w:ascii="Garamond" w:hAnsi="Garamond"/>
          <w:sz w:val="24"/>
          <w:szCs w:val="24"/>
        </w:rPr>
      </w:pPr>
    </w:p>
    <w:p w:rsidR="002B2B9D" w:rsidRPr="00E168EA" w:rsidRDefault="001206DE" w:rsidP="00E168EA">
      <w:pPr>
        <w:rPr>
          <w:rFonts w:ascii="Garamond" w:hAnsi="Garamond"/>
          <w:sz w:val="24"/>
          <w:szCs w:val="24"/>
        </w:rPr>
      </w:pPr>
      <w:r w:rsidRPr="00A01255">
        <w:rPr>
          <w:rFonts w:ascii="Garamond" w:hAnsi="Garamond"/>
          <w:b/>
          <w:sz w:val="24"/>
          <w:szCs w:val="24"/>
        </w:rPr>
        <w:t>I</w:t>
      </w:r>
      <w:r>
        <w:rPr>
          <w:rFonts w:ascii="Garamond" w:hAnsi="Garamond"/>
          <w:b/>
          <w:sz w:val="24"/>
          <w:szCs w:val="24"/>
        </w:rPr>
        <w:t>I</w:t>
      </w:r>
      <w:r w:rsidRPr="00A01255">
        <w:rPr>
          <w:rFonts w:ascii="Garamond" w:hAnsi="Garamond"/>
          <w:b/>
          <w:sz w:val="24"/>
          <w:szCs w:val="24"/>
        </w:rPr>
        <w:t xml:space="preserve"> </w:t>
      </w:r>
      <w:r>
        <w:rPr>
          <w:rFonts w:ascii="Garamond" w:hAnsi="Garamond"/>
          <w:b/>
          <w:sz w:val="24"/>
          <w:szCs w:val="24"/>
        </w:rPr>
        <w:tab/>
        <w:t>TRANSPOSITION DES PRATIQUES</w:t>
      </w:r>
    </w:p>
    <w:p w:rsidR="00685AFF" w:rsidRPr="00566DB6" w:rsidRDefault="00685AFF" w:rsidP="002D6A6A">
      <w:pPr>
        <w:rPr>
          <w:rFonts w:ascii="Garamond" w:hAnsi="Garamond"/>
          <w:sz w:val="24"/>
          <w:szCs w:val="24"/>
        </w:rPr>
      </w:pPr>
      <w:r w:rsidRPr="00566DB6">
        <w:rPr>
          <w:rFonts w:ascii="Garamond" w:hAnsi="Garamond"/>
          <w:sz w:val="24"/>
          <w:szCs w:val="24"/>
        </w:rPr>
        <w:t>Les entreprises ne sont pas concernées par la problématique de l’inviolabilité du domicile privé. Pourtant, lorsque le cas s’est présenté, elles ont pu trouver certaines solutions de remplacement à leur impossibilité factuelle de pouvoir tenir un entretien préalable au licenciement dans leurs locaux. Certaines de ces solutions sont peut-être applicables</w:t>
      </w:r>
      <w:r w:rsidR="004F6962">
        <w:rPr>
          <w:rFonts w:ascii="Garamond" w:hAnsi="Garamond"/>
          <w:sz w:val="24"/>
          <w:szCs w:val="24"/>
        </w:rPr>
        <w:t xml:space="preserve"> aux particuliers employeurs</w:t>
      </w:r>
      <w:r w:rsidRPr="00566DB6">
        <w:rPr>
          <w:rFonts w:ascii="Garamond" w:hAnsi="Garamond"/>
          <w:sz w:val="24"/>
          <w:szCs w:val="24"/>
        </w:rPr>
        <w:t xml:space="preserve">, tandis que l’innovation juridique doit apporter son lot de propositions. </w:t>
      </w:r>
    </w:p>
    <w:p w:rsidR="00305406" w:rsidRPr="00A01255" w:rsidRDefault="00305406" w:rsidP="00305406">
      <w:pPr>
        <w:pStyle w:val="Paragraphedeliste"/>
        <w:numPr>
          <w:ilvl w:val="0"/>
          <w:numId w:val="3"/>
        </w:numPr>
        <w:rPr>
          <w:rFonts w:ascii="Garamond" w:hAnsi="Garamond"/>
          <w:sz w:val="24"/>
          <w:szCs w:val="24"/>
        </w:rPr>
      </w:pPr>
      <w:r>
        <w:rPr>
          <w:rFonts w:ascii="Garamond" w:hAnsi="Garamond"/>
          <w:b/>
          <w:sz w:val="24"/>
          <w:szCs w:val="24"/>
        </w:rPr>
        <w:t>Le choix du lieu de l’entretien</w:t>
      </w:r>
    </w:p>
    <w:p w:rsidR="00342882" w:rsidRPr="00566DB6" w:rsidRDefault="00F74759" w:rsidP="002D6A6A">
      <w:pPr>
        <w:rPr>
          <w:rFonts w:ascii="Garamond" w:hAnsi="Garamond"/>
          <w:sz w:val="24"/>
          <w:szCs w:val="24"/>
        </w:rPr>
      </w:pPr>
      <w:r w:rsidRPr="00566DB6">
        <w:rPr>
          <w:rFonts w:ascii="Garamond" w:hAnsi="Garamond"/>
          <w:sz w:val="24"/>
          <w:szCs w:val="24"/>
        </w:rPr>
        <w:t xml:space="preserve">Si le particulier employeur regimbe à laisser entrer un conseiller extérieur à son domicile, il lui est loisible de pouvoir convoquer le salarié dans un lieu autre que son domicile personnel, afin de respecter l’article 6.1 de la CESDH. </w:t>
      </w:r>
      <w:r w:rsidR="00945D22" w:rsidRPr="00566DB6">
        <w:rPr>
          <w:rFonts w:ascii="Garamond" w:hAnsi="Garamond"/>
          <w:sz w:val="24"/>
          <w:szCs w:val="24"/>
        </w:rPr>
        <w:t xml:space="preserve">Des entités privées, associatives ou publiques peuvent apparaitre comme des solutions possibles : </w:t>
      </w:r>
      <w:r w:rsidR="00566DB6" w:rsidRPr="00566DB6">
        <w:rPr>
          <w:rFonts w:ascii="Garamond" w:hAnsi="Garamond"/>
          <w:sz w:val="24"/>
          <w:szCs w:val="24"/>
        </w:rPr>
        <w:br/>
      </w:r>
      <w:r w:rsidR="00945D22" w:rsidRPr="00566DB6">
        <w:rPr>
          <w:rFonts w:ascii="Garamond" w:hAnsi="Garamond"/>
          <w:sz w:val="24"/>
          <w:szCs w:val="24"/>
        </w:rPr>
        <w:t>Il est envisageable de</w:t>
      </w:r>
      <w:r w:rsidR="00962794" w:rsidRPr="00566DB6">
        <w:rPr>
          <w:rFonts w:ascii="Garamond" w:hAnsi="Garamond"/>
          <w:sz w:val="24"/>
          <w:szCs w:val="24"/>
        </w:rPr>
        <w:t xml:space="preserve"> l</w:t>
      </w:r>
      <w:r w:rsidR="00945D22" w:rsidRPr="00566DB6">
        <w:rPr>
          <w:rFonts w:ascii="Garamond" w:hAnsi="Garamond"/>
          <w:sz w:val="24"/>
          <w:szCs w:val="24"/>
        </w:rPr>
        <w:t>ouer un espace clos auprès d’une</w:t>
      </w:r>
      <w:r w:rsidR="00962794" w:rsidRPr="00566DB6">
        <w:rPr>
          <w:rFonts w:ascii="Garamond" w:hAnsi="Garamond"/>
          <w:sz w:val="24"/>
          <w:szCs w:val="24"/>
        </w:rPr>
        <w:t xml:space="preserve"> entreprise de domiciliation ou de locations de bureaux. Ce seront des frais uniquement à la charge de l’employeur, et encore faut-il que ces locaux ne soient pas trop éloignés du lieu de travail du salarié. </w:t>
      </w:r>
      <w:r w:rsidR="00566DB6" w:rsidRPr="00566DB6">
        <w:rPr>
          <w:rFonts w:ascii="Garamond" w:hAnsi="Garamond"/>
          <w:sz w:val="24"/>
          <w:szCs w:val="24"/>
        </w:rPr>
        <w:br/>
      </w:r>
      <w:r w:rsidR="003B5FE2" w:rsidRPr="00566DB6">
        <w:rPr>
          <w:rFonts w:ascii="Garamond" w:hAnsi="Garamond"/>
          <w:sz w:val="24"/>
          <w:szCs w:val="24"/>
        </w:rPr>
        <w:t xml:space="preserve">Les pépinières d’entreprises ne s’adressent qu’à des entreprises, elles sont liées aux Chambres de commerce et d’industrie. Quand elles proposent des locations de bureaux à la journée, elles ne le font qu’aux entreprises qu’elles hébergent. </w:t>
      </w:r>
      <w:r w:rsidR="000246CE" w:rsidRPr="00566DB6">
        <w:rPr>
          <w:rFonts w:ascii="Garamond" w:hAnsi="Garamond"/>
          <w:sz w:val="24"/>
          <w:szCs w:val="24"/>
        </w:rPr>
        <w:br/>
      </w:r>
      <w:r w:rsidR="003B5FE2" w:rsidRPr="00566DB6">
        <w:rPr>
          <w:rFonts w:ascii="Garamond" w:hAnsi="Garamond"/>
          <w:sz w:val="24"/>
          <w:szCs w:val="24"/>
        </w:rPr>
        <w:t xml:space="preserve">Bien que le lieu de convocation </w:t>
      </w:r>
      <w:r w:rsidR="00A20365" w:rsidRPr="00566DB6">
        <w:rPr>
          <w:rFonts w:ascii="Garamond" w:hAnsi="Garamond"/>
          <w:sz w:val="24"/>
          <w:szCs w:val="24"/>
        </w:rPr>
        <w:t>puisse</w:t>
      </w:r>
      <w:r w:rsidR="003B5FE2" w:rsidRPr="00566DB6">
        <w:rPr>
          <w:rFonts w:ascii="Garamond" w:hAnsi="Garamond"/>
          <w:sz w:val="24"/>
          <w:szCs w:val="24"/>
        </w:rPr>
        <w:t xml:space="preserve"> par nature ne pas être neutre</w:t>
      </w:r>
      <w:r w:rsidR="00E06FB7">
        <w:rPr>
          <w:rFonts w:ascii="Garamond" w:hAnsi="Garamond"/>
          <w:sz w:val="24"/>
          <w:szCs w:val="24"/>
        </w:rPr>
        <w:t>,</w:t>
      </w:r>
      <w:r w:rsidR="003B5FE2" w:rsidRPr="00566DB6">
        <w:rPr>
          <w:rFonts w:ascii="Garamond" w:hAnsi="Garamond"/>
          <w:sz w:val="24"/>
          <w:szCs w:val="24"/>
        </w:rPr>
        <w:t xml:space="preserve"> </w:t>
      </w:r>
      <w:r w:rsidR="00FA354C" w:rsidRPr="00566DB6">
        <w:rPr>
          <w:rFonts w:ascii="Garamond" w:hAnsi="Garamond"/>
          <w:sz w:val="24"/>
          <w:szCs w:val="24"/>
        </w:rPr>
        <w:t>l’entretien ne devrait pas avoir lieu dans un lieu tiers fortement marqué, comme la délégation départementale du syndicat patronal</w:t>
      </w:r>
      <w:r w:rsidR="00FA354C" w:rsidRPr="00566DB6">
        <w:rPr>
          <w:rStyle w:val="Appelnotedebasdep"/>
          <w:rFonts w:ascii="Garamond" w:hAnsi="Garamond"/>
          <w:sz w:val="24"/>
          <w:szCs w:val="24"/>
        </w:rPr>
        <w:footnoteReference w:id="38"/>
      </w:r>
      <w:r w:rsidR="00FA354C" w:rsidRPr="00566DB6">
        <w:rPr>
          <w:rFonts w:ascii="Garamond" w:hAnsi="Garamond"/>
          <w:sz w:val="24"/>
          <w:szCs w:val="24"/>
        </w:rPr>
        <w:t>.</w:t>
      </w:r>
      <w:r w:rsidR="00A20365" w:rsidRPr="00566DB6">
        <w:rPr>
          <w:rFonts w:ascii="Garamond" w:hAnsi="Garamond"/>
          <w:sz w:val="24"/>
          <w:szCs w:val="24"/>
        </w:rPr>
        <w:t xml:space="preserve"> </w:t>
      </w:r>
      <w:r w:rsidR="00566DB6" w:rsidRPr="00566DB6">
        <w:rPr>
          <w:rFonts w:ascii="Garamond" w:hAnsi="Garamond"/>
          <w:sz w:val="24"/>
          <w:szCs w:val="24"/>
        </w:rPr>
        <w:br/>
      </w:r>
      <w:r w:rsidR="00B55083" w:rsidRPr="00566DB6">
        <w:rPr>
          <w:rFonts w:ascii="Garamond" w:hAnsi="Garamond"/>
          <w:sz w:val="24"/>
          <w:szCs w:val="24"/>
        </w:rPr>
        <w:t>Les entités appartenant à la sphère publ</w:t>
      </w:r>
      <w:r w:rsidR="00A84C13" w:rsidRPr="00566DB6">
        <w:rPr>
          <w:rFonts w:ascii="Garamond" w:hAnsi="Garamond"/>
          <w:sz w:val="24"/>
          <w:szCs w:val="24"/>
        </w:rPr>
        <w:t>ique garantissent la neutralité ainsi qu’</w:t>
      </w:r>
      <w:r w:rsidR="00B55083" w:rsidRPr="00566DB6">
        <w:rPr>
          <w:rFonts w:ascii="Garamond" w:hAnsi="Garamond"/>
          <w:sz w:val="24"/>
          <w:szCs w:val="24"/>
        </w:rPr>
        <w:t xml:space="preserve">une présence bien répartie localement, et une éventuelle gratuité de leurs locaux en cas d’accord entre </w:t>
      </w:r>
      <w:r w:rsidR="0020631C" w:rsidRPr="00566DB6">
        <w:rPr>
          <w:rFonts w:ascii="Garamond" w:hAnsi="Garamond"/>
          <w:sz w:val="24"/>
          <w:szCs w:val="24"/>
        </w:rPr>
        <w:t xml:space="preserve">les protagonistes sociaux de la convention collective, et, par exemple, la direction nationale d’organismes comme Pôle Emploi ou la CAF. </w:t>
      </w:r>
      <w:r w:rsidR="00A84C13" w:rsidRPr="00566DB6">
        <w:rPr>
          <w:rFonts w:ascii="Garamond" w:hAnsi="Garamond"/>
          <w:sz w:val="24"/>
          <w:szCs w:val="24"/>
        </w:rPr>
        <w:t>Mais pour le moment, ces deux organismes ne s’orientent pas vers ce genre de diversification</w:t>
      </w:r>
      <w:r w:rsidR="00420380">
        <w:rPr>
          <w:rStyle w:val="Appelnotedebasdep"/>
          <w:rFonts w:ascii="Garamond" w:hAnsi="Garamond"/>
          <w:sz w:val="24"/>
          <w:szCs w:val="24"/>
        </w:rPr>
        <w:footnoteReference w:id="39"/>
      </w:r>
      <w:r w:rsidR="00A84C13" w:rsidRPr="00566DB6">
        <w:rPr>
          <w:rFonts w:ascii="Garamond" w:hAnsi="Garamond"/>
          <w:sz w:val="24"/>
          <w:szCs w:val="24"/>
        </w:rPr>
        <w:t>.</w:t>
      </w:r>
      <w:r w:rsidR="00566DB6" w:rsidRPr="00566DB6">
        <w:rPr>
          <w:rFonts w:ascii="Garamond" w:hAnsi="Garamond"/>
          <w:sz w:val="24"/>
          <w:szCs w:val="24"/>
        </w:rPr>
        <w:t xml:space="preserve"> </w:t>
      </w:r>
      <w:r w:rsidR="00566DB6" w:rsidRPr="00566DB6">
        <w:rPr>
          <w:rFonts w:ascii="Garamond" w:hAnsi="Garamond"/>
          <w:sz w:val="24"/>
          <w:szCs w:val="24"/>
        </w:rPr>
        <w:br/>
      </w:r>
      <w:r w:rsidR="00A84C13" w:rsidRPr="00566DB6">
        <w:rPr>
          <w:rFonts w:ascii="Garamond" w:hAnsi="Garamond"/>
          <w:sz w:val="24"/>
          <w:szCs w:val="24"/>
        </w:rPr>
        <w:t xml:space="preserve">Les collectivités territoriales, en revanche, et notamment les mairies, pourraient être mises à contribution. Les mises </w:t>
      </w:r>
      <w:r w:rsidR="00A25CAC" w:rsidRPr="00566DB6">
        <w:rPr>
          <w:rFonts w:ascii="Garamond" w:hAnsi="Garamond"/>
          <w:sz w:val="24"/>
          <w:szCs w:val="24"/>
        </w:rPr>
        <w:t xml:space="preserve">à dispositions de salles à des organisations à but non lucratif </w:t>
      </w:r>
      <w:r w:rsidR="00566DB6">
        <w:rPr>
          <w:rFonts w:ascii="Garamond" w:hAnsi="Garamond"/>
          <w:sz w:val="24"/>
          <w:szCs w:val="24"/>
        </w:rPr>
        <w:t>sont courantes</w:t>
      </w:r>
      <w:r w:rsidR="00A25CAC" w:rsidRPr="00566DB6">
        <w:rPr>
          <w:rFonts w:ascii="Garamond" w:hAnsi="Garamond"/>
          <w:sz w:val="24"/>
          <w:szCs w:val="24"/>
        </w:rPr>
        <w:t xml:space="preserve">. Dans les grandes agglomérations, des salles pourraient être même spécialement dédiées, voire même un ensemble de salles. </w:t>
      </w:r>
      <w:r w:rsidR="005C34AF" w:rsidRPr="00566DB6">
        <w:rPr>
          <w:rFonts w:ascii="Garamond" w:hAnsi="Garamond"/>
          <w:sz w:val="24"/>
          <w:szCs w:val="24"/>
        </w:rPr>
        <w:t>Ce pourrait même être un endroit qui, outre l’accueil des entretiens préalables au licenciement</w:t>
      </w:r>
      <w:r w:rsidR="00566DB6" w:rsidRPr="00566DB6">
        <w:rPr>
          <w:rFonts w:ascii="Garamond" w:hAnsi="Garamond"/>
          <w:sz w:val="24"/>
          <w:szCs w:val="24"/>
        </w:rPr>
        <w:t>, accueillerait du public en recherche d’emploi pour des offres de travail, des formations, de l’orientation professionnelle.</w:t>
      </w:r>
      <w:r w:rsidR="00566DB6">
        <w:rPr>
          <w:rFonts w:ascii="Garamond" w:hAnsi="Garamond"/>
          <w:sz w:val="24"/>
          <w:szCs w:val="24"/>
        </w:rPr>
        <w:t xml:space="preserve"> Particuliers comme entreprises </w:t>
      </w:r>
      <w:r w:rsidR="00566DB6">
        <w:rPr>
          <w:rFonts w:ascii="Garamond" w:hAnsi="Garamond"/>
          <w:sz w:val="24"/>
          <w:szCs w:val="24"/>
        </w:rPr>
        <w:lastRenderedPageBreak/>
        <w:t>pourraient y déposer des offres d’emplois.</w:t>
      </w:r>
      <w:r w:rsidR="00566DB6" w:rsidRPr="00566DB6">
        <w:rPr>
          <w:rFonts w:ascii="Garamond" w:hAnsi="Garamond"/>
          <w:sz w:val="24"/>
          <w:szCs w:val="24"/>
        </w:rPr>
        <w:t xml:space="preserve"> </w:t>
      </w:r>
      <w:r w:rsidR="002937B4">
        <w:rPr>
          <w:rFonts w:ascii="Garamond" w:hAnsi="Garamond"/>
          <w:sz w:val="24"/>
          <w:szCs w:val="24"/>
        </w:rPr>
        <w:br/>
      </w:r>
      <w:r w:rsidR="00566DB6" w:rsidRPr="00566DB6">
        <w:rPr>
          <w:rFonts w:ascii="Garamond" w:hAnsi="Garamond"/>
          <w:sz w:val="24"/>
          <w:szCs w:val="24"/>
        </w:rPr>
        <w:t>Ces endroits ont existé dès la fin du 19</w:t>
      </w:r>
      <w:r w:rsidR="00566DB6" w:rsidRPr="00566DB6">
        <w:rPr>
          <w:rFonts w:ascii="Garamond" w:hAnsi="Garamond"/>
          <w:sz w:val="24"/>
          <w:szCs w:val="24"/>
          <w:vertAlign w:val="superscript"/>
        </w:rPr>
        <w:t>ème</w:t>
      </w:r>
      <w:r w:rsidR="00566DB6" w:rsidRPr="00566DB6">
        <w:rPr>
          <w:rFonts w:ascii="Garamond" w:hAnsi="Garamond"/>
          <w:sz w:val="24"/>
          <w:szCs w:val="24"/>
        </w:rPr>
        <w:t xml:space="preserve"> siècle, il en existe encore un peu, et étaient dénommé</w:t>
      </w:r>
      <w:r w:rsidR="00B948AE">
        <w:rPr>
          <w:rFonts w:ascii="Garamond" w:hAnsi="Garamond"/>
          <w:sz w:val="24"/>
          <w:szCs w:val="24"/>
        </w:rPr>
        <w:t xml:space="preserve">s </w:t>
      </w:r>
      <w:r w:rsidR="00566DB6" w:rsidRPr="00566DB6">
        <w:rPr>
          <w:rFonts w:ascii="Garamond" w:hAnsi="Garamond"/>
          <w:sz w:val="24"/>
          <w:szCs w:val="24"/>
        </w:rPr>
        <w:t>‘Bourses du travail’</w:t>
      </w:r>
      <w:r w:rsidR="00B948AE">
        <w:rPr>
          <w:rFonts w:ascii="Garamond" w:hAnsi="Garamond"/>
          <w:sz w:val="24"/>
          <w:szCs w:val="24"/>
        </w:rPr>
        <w:t>, à l’image de la Bourse des valeurs. Elles sont peu à peu tombées en désuétude.</w:t>
      </w:r>
      <w:r w:rsidR="00A03FC9">
        <w:rPr>
          <w:rFonts w:ascii="Garamond" w:hAnsi="Garamond"/>
          <w:sz w:val="24"/>
          <w:szCs w:val="24"/>
        </w:rPr>
        <w:t xml:space="preserve"> Elles hébergent parfois des unions locales de syndicats, mais n’en perdent pas pour autant leur </w:t>
      </w:r>
      <w:r w:rsidR="00342882">
        <w:rPr>
          <w:rFonts w:ascii="Garamond" w:hAnsi="Garamond"/>
          <w:sz w:val="24"/>
          <w:szCs w:val="24"/>
        </w:rPr>
        <w:t>neutralité du fait de leur rattachement statutaire à une collectivité territoriale.</w:t>
      </w:r>
      <w:r w:rsidR="00385D91">
        <w:rPr>
          <w:rFonts w:ascii="Garamond" w:hAnsi="Garamond"/>
          <w:sz w:val="24"/>
          <w:szCs w:val="24"/>
        </w:rPr>
        <w:br/>
      </w:r>
      <w:r w:rsidR="00342882">
        <w:rPr>
          <w:rFonts w:ascii="Garamond" w:hAnsi="Garamond"/>
          <w:sz w:val="24"/>
          <w:szCs w:val="24"/>
        </w:rPr>
        <w:t>Enfin, la DIRECCTE dispose de locaux dans les départements, et pourraient les mettre à disposition pour des entretiens préalables. Le principe de neutralité est préservé, le travail et l’emploi sont au cœur de leur action, et les conseillers du salarié y sont administrativement rattachés</w:t>
      </w:r>
      <w:r w:rsidR="00342882">
        <w:rPr>
          <w:rStyle w:val="Appelnotedebasdep"/>
          <w:rFonts w:ascii="Garamond" w:hAnsi="Garamond"/>
          <w:sz w:val="24"/>
          <w:szCs w:val="24"/>
        </w:rPr>
        <w:footnoteReference w:id="40"/>
      </w:r>
      <w:r w:rsidR="00342882">
        <w:rPr>
          <w:rFonts w:ascii="Garamond" w:hAnsi="Garamond"/>
          <w:sz w:val="24"/>
          <w:szCs w:val="24"/>
        </w:rPr>
        <w:t xml:space="preserve">. </w:t>
      </w:r>
    </w:p>
    <w:p w:rsidR="00945D22" w:rsidRDefault="00A03FC9" w:rsidP="002D6A6A">
      <w:pPr>
        <w:rPr>
          <w:rFonts w:ascii="Garamond" w:hAnsi="Garamond"/>
          <w:sz w:val="24"/>
          <w:szCs w:val="24"/>
        </w:rPr>
      </w:pPr>
      <w:r w:rsidRPr="00305406">
        <w:rPr>
          <w:rFonts w:ascii="Garamond" w:hAnsi="Garamond"/>
          <w:sz w:val="24"/>
          <w:szCs w:val="24"/>
        </w:rPr>
        <w:t>Dans le cas o</w:t>
      </w:r>
      <w:r w:rsidR="00305406" w:rsidRPr="00305406">
        <w:rPr>
          <w:rFonts w:ascii="Garamond" w:hAnsi="Garamond"/>
          <w:sz w:val="24"/>
          <w:szCs w:val="24"/>
        </w:rPr>
        <w:t>ù</w:t>
      </w:r>
      <w:r w:rsidRPr="00305406">
        <w:rPr>
          <w:rFonts w:ascii="Garamond" w:hAnsi="Garamond"/>
          <w:sz w:val="24"/>
          <w:szCs w:val="24"/>
        </w:rPr>
        <w:t xml:space="preserve"> </w:t>
      </w:r>
      <w:r w:rsidR="00B948AE" w:rsidRPr="00305406">
        <w:rPr>
          <w:rFonts w:ascii="Garamond" w:hAnsi="Garamond"/>
          <w:sz w:val="24"/>
          <w:szCs w:val="24"/>
        </w:rPr>
        <w:t>le particulier employeur</w:t>
      </w:r>
      <w:r w:rsidR="00305406" w:rsidRPr="00305406">
        <w:rPr>
          <w:rFonts w:ascii="Garamond" w:hAnsi="Garamond"/>
          <w:sz w:val="24"/>
          <w:szCs w:val="24"/>
        </w:rPr>
        <w:t xml:space="preserve"> convoquera</w:t>
      </w:r>
      <w:r w:rsidRPr="00305406">
        <w:rPr>
          <w:rFonts w:ascii="Garamond" w:hAnsi="Garamond"/>
          <w:sz w:val="24"/>
          <w:szCs w:val="24"/>
        </w:rPr>
        <w:t xml:space="preserve"> le salarié à l’extérieur de son domicile, il conviendra </w:t>
      </w:r>
      <w:r w:rsidR="00305406" w:rsidRPr="00305406">
        <w:rPr>
          <w:rFonts w:ascii="Garamond" w:hAnsi="Garamond"/>
          <w:sz w:val="24"/>
          <w:szCs w:val="24"/>
        </w:rPr>
        <w:t xml:space="preserve">de déterminer les modalités de la tenue de l’entretien. </w:t>
      </w:r>
    </w:p>
    <w:p w:rsidR="00C2479D" w:rsidRPr="00C2479D" w:rsidRDefault="00C2479D" w:rsidP="00C2479D">
      <w:pPr>
        <w:pStyle w:val="Paragraphedeliste"/>
        <w:numPr>
          <w:ilvl w:val="0"/>
          <w:numId w:val="3"/>
        </w:numPr>
        <w:rPr>
          <w:rFonts w:ascii="Garamond" w:hAnsi="Garamond"/>
          <w:b/>
          <w:sz w:val="24"/>
          <w:szCs w:val="24"/>
        </w:rPr>
      </w:pPr>
      <w:r w:rsidRPr="00C2479D">
        <w:rPr>
          <w:rFonts w:ascii="Garamond" w:hAnsi="Garamond"/>
          <w:b/>
          <w:sz w:val="24"/>
          <w:szCs w:val="24"/>
        </w:rPr>
        <w:t>Les modalités de la convocation</w:t>
      </w:r>
    </w:p>
    <w:p w:rsidR="00F10C2B" w:rsidRPr="00F10C2B" w:rsidRDefault="00F10C2B" w:rsidP="00F10C2B">
      <w:pPr>
        <w:rPr>
          <w:sz w:val="24"/>
          <w:szCs w:val="24"/>
        </w:rPr>
      </w:pPr>
      <w:r w:rsidRPr="00F10C2B">
        <w:rPr>
          <w:rFonts w:ascii="Garamond" w:hAnsi="Garamond"/>
          <w:sz w:val="24"/>
          <w:szCs w:val="24"/>
        </w:rPr>
        <w:t>Comme les autres types d’employeurs, le particulier doit, avant de procéder à un licenciement, convoquer le salarié à un entretien préalable</w:t>
      </w:r>
      <w:r>
        <w:rPr>
          <w:rStyle w:val="Appelnotedebasdep"/>
          <w:rFonts w:ascii="Garamond" w:hAnsi="Garamond"/>
          <w:sz w:val="24"/>
          <w:szCs w:val="24"/>
        </w:rPr>
        <w:footnoteReference w:id="41"/>
      </w:r>
      <w:r w:rsidRPr="00F10C2B">
        <w:rPr>
          <w:rFonts w:ascii="Garamond" w:hAnsi="Garamond"/>
          <w:sz w:val="24"/>
          <w:szCs w:val="24"/>
        </w:rPr>
        <w:t>.</w:t>
      </w:r>
      <w:r w:rsidRPr="00F10C2B">
        <w:rPr>
          <w:sz w:val="24"/>
          <w:szCs w:val="24"/>
        </w:rPr>
        <w:t xml:space="preserve"> </w:t>
      </w:r>
    </w:p>
    <w:p w:rsidR="00F10C2B" w:rsidRPr="00332578" w:rsidRDefault="00F10C2B" w:rsidP="00F10C2B">
      <w:pPr>
        <w:rPr>
          <w:rFonts w:ascii="Garamond" w:hAnsi="Garamond"/>
          <w:sz w:val="24"/>
          <w:szCs w:val="24"/>
        </w:rPr>
      </w:pPr>
      <w:r w:rsidRPr="00332578">
        <w:rPr>
          <w:rFonts w:ascii="Garamond" w:hAnsi="Garamond"/>
          <w:sz w:val="24"/>
          <w:szCs w:val="24"/>
        </w:rPr>
        <w:t>La lettre de convocation doit parvenir au moins 5 jours ouvrables avant l'entretien. Doivent impérativement figurer dans la lettre : la date et l'heure de l'entretien, le lieu. Les temps partiels sont nombreux parmi les employés de maison. Il serait déloyal de convoquer le salarié à un moment ou il travaille ailleurs</w:t>
      </w:r>
      <w:r w:rsidR="00332578">
        <w:rPr>
          <w:rStyle w:val="Appelnotedebasdep"/>
          <w:rFonts w:ascii="Garamond" w:hAnsi="Garamond"/>
          <w:sz w:val="24"/>
          <w:szCs w:val="24"/>
        </w:rPr>
        <w:footnoteReference w:id="42"/>
      </w:r>
      <w:r w:rsidRPr="00332578">
        <w:rPr>
          <w:rFonts w:ascii="Garamond" w:hAnsi="Garamond"/>
          <w:sz w:val="24"/>
          <w:szCs w:val="24"/>
        </w:rPr>
        <w:t>, alors que la jurisprudence accorde à l’employeur le droit de convoquer le salarié en dehors des heures de travail</w:t>
      </w:r>
      <w:r w:rsidR="00BB7721">
        <w:rPr>
          <w:rStyle w:val="Appelnotedebasdep"/>
          <w:rFonts w:ascii="Garamond" w:hAnsi="Garamond"/>
          <w:sz w:val="24"/>
          <w:szCs w:val="24"/>
        </w:rPr>
        <w:footnoteReference w:id="43"/>
      </w:r>
      <w:r w:rsidRPr="00332578">
        <w:rPr>
          <w:rFonts w:ascii="Garamond" w:hAnsi="Garamond"/>
          <w:sz w:val="24"/>
          <w:szCs w:val="24"/>
        </w:rPr>
        <w:t>, en fin de journée</w:t>
      </w:r>
      <w:r w:rsidR="00BB7721">
        <w:rPr>
          <w:rStyle w:val="Appelnotedebasdep"/>
          <w:rFonts w:ascii="Garamond" w:hAnsi="Garamond"/>
          <w:sz w:val="24"/>
          <w:szCs w:val="24"/>
        </w:rPr>
        <w:footnoteReference w:id="44"/>
      </w:r>
      <w:r w:rsidRPr="00332578">
        <w:rPr>
          <w:rFonts w:ascii="Garamond" w:hAnsi="Garamond"/>
          <w:sz w:val="24"/>
          <w:szCs w:val="24"/>
        </w:rPr>
        <w:t>, pendant un jour de repos</w:t>
      </w:r>
      <w:r w:rsidR="00BB7721">
        <w:rPr>
          <w:rStyle w:val="Appelnotedebasdep"/>
          <w:rFonts w:ascii="Garamond" w:hAnsi="Garamond"/>
          <w:sz w:val="24"/>
          <w:szCs w:val="24"/>
        </w:rPr>
        <w:footnoteReference w:id="45"/>
      </w:r>
      <w:r w:rsidRPr="00332578">
        <w:rPr>
          <w:rFonts w:ascii="Garamond" w:hAnsi="Garamond"/>
          <w:sz w:val="24"/>
          <w:szCs w:val="24"/>
        </w:rPr>
        <w:t>, pendant une période de congé</w:t>
      </w:r>
      <w:r w:rsidR="00BB7721">
        <w:rPr>
          <w:rStyle w:val="Appelnotedebasdep"/>
          <w:rFonts w:ascii="Garamond" w:hAnsi="Garamond"/>
          <w:sz w:val="24"/>
          <w:szCs w:val="24"/>
        </w:rPr>
        <w:footnoteReference w:id="46"/>
      </w:r>
      <w:r w:rsidRPr="00332578">
        <w:rPr>
          <w:rFonts w:ascii="Garamond" w:hAnsi="Garamond"/>
          <w:sz w:val="24"/>
          <w:szCs w:val="24"/>
        </w:rPr>
        <w:t>.</w:t>
      </w:r>
    </w:p>
    <w:p w:rsidR="00F10C2B" w:rsidRPr="00332578" w:rsidRDefault="00F10C2B" w:rsidP="00F10C2B">
      <w:pPr>
        <w:rPr>
          <w:rFonts w:ascii="Garamond" w:hAnsi="Garamond"/>
          <w:sz w:val="24"/>
          <w:szCs w:val="24"/>
        </w:rPr>
      </w:pPr>
      <w:r w:rsidRPr="00332578">
        <w:rPr>
          <w:rFonts w:ascii="Garamond" w:hAnsi="Garamond"/>
          <w:sz w:val="24"/>
          <w:szCs w:val="24"/>
        </w:rPr>
        <w:t>Pour un particulier employeur, la convocation pourrait indiquer si l’employeur accepte la présence d’un conseiller du salarié lors de l’entretien. En cas de refus de l’employeur, deux solutions s</w:t>
      </w:r>
      <w:r w:rsidR="00ED6603">
        <w:rPr>
          <w:rFonts w:ascii="Garamond" w:hAnsi="Garamond"/>
          <w:sz w:val="24"/>
          <w:szCs w:val="24"/>
        </w:rPr>
        <w:t>eraie</w:t>
      </w:r>
      <w:r w:rsidRPr="00332578">
        <w:rPr>
          <w:rFonts w:ascii="Garamond" w:hAnsi="Garamond"/>
          <w:sz w:val="24"/>
          <w:szCs w:val="24"/>
        </w:rPr>
        <w:t xml:space="preserve">nt possibles : </w:t>
      </w:r>
    </w:p>
    <w:p w:rsidR="00F10C2B" w:rsidRPr="00332578" w:rsidRDefault="00F10C2B" w:rsidP="00F10C2B">
      <w:pPr>
        <w:pStyle w:val="Paragraphedeliste"/>
        <w:numPr>
          <w:ilvl w:val="0"/>
          <w:numId w:val="4"/>
        </w:numPr>
        <w:rPr>
          <w:rFonts w:ascii="Garamond" w:hAnsi="Garamond"/>
          <w:sz w:val="24"/>
          <w:szCs w:val="24"/>
        </w:rPr>
      </w:pPr>
      <w:r w:rsidRPr="00332578">
        <w:rPr>
          <w:rFonts w:ascii="Garamond" w:hAnsi="Garamond"/>
          <w:sz w:val="24"/>
          <w:szCs w:val="24"/>
        </w:rPr>
        <w:t xml:space="preserve">Soit de laisser le salarié choisir de se faire assister ou non. En cas de refus d’assistance, l’entretien se déroulerait au domicile de l’employeur. </w:t>
      </w:r>
    </w:p>
    <w:p w:rsidR="00F10C2B" w:rsidRPr="00332578" w:rsidRDefault="00F10C2B" w:rsidP="00F10C2B">
      <w:pPr>
        <w:pStyle w:val="Paragraphedeliste"/>
        <w:numPr>
          <w:ilvl w:val="0"/>
          <w:numId w:val="4"/>
        </w:numPr>
        <w:rPr>
          <w:rFonts w:ascii="Garamond" w:hAnsi="Garamond"/>
          <w:sz w:val="24"/>
          <w:szCs w:val="24"/>
        </w:rPr>
      </w:pPr>
      <w:r w:rsidRPr="00332578">
        <w:rPr>
          <w:rFonts w:ascii="Garamond" w:hAnsi="Garamond"/>
          <w:sz w:val="24"/>
          <w:szCs w:val="24"/>
        </w:rPr>
        <w:t xml:space="preserve">Si le salarié souhaite bénéficier d’une assistance, il en informerait l’employeur, qui prendrait alors ses dispositions en réservant une salle parmi une des propositions présentées plus haut. </w:t>
      </w:r>
    </w:p>
    <w:p w:rsidR="00D2379E" w:rsidRDefault="00F10C2B">
      <w:pPr>
        <w:rPr>
          <w:rFonts w:ascii="Garamond" w:hAnsi="Garamond"/>
          <w:sz w:val="24"/>
          <w:szCs w:val="24"/>
        </w:rPr>
      </w:pPr>
      <w:r w:rsidRPr="00332578">
        <w:rPr>
          <w:rFonts w:ascii="Garamond" w:hAnsi="Garamond"/>
          <w:sz w:val="24"/>
          <w:szCs w:val="24"/>
        </w:rPr>
        <w:t>L’employeur peut aussi décider unilatéralement de se passer du choix du salarié et de réserver une salle directement.</w:t>
      </w:r>
    </w:p>
    <w:p w:rsidR="00ED6603" w:rsidRDefault="00ED6603" w:rsidP="00FB45A7">
      <w:pPr>
        <w:jc w:val="center"/>
        <w:rPr>
          <w:rFonts w:ascii="Garamond" w:hAnsi="Garamond"/>
          <w:sz w:val="24"/>
          <w:szCs w:val="24"/>
        </w:rPr>
      </w:pPr>
      <w:r>
        <w:rPr>
          <w:rFonts w:ascii="Garamond" w:hAnsi="Garamond"/>
          <w:sz w:val="24"/>
          <w:szCs w:val="24"/>
        </w:rPr>
        <w:lastRenderedPageBreak/>
        <w:t>* * *</w:t>
      </w:r>
      <w:r w:rsidR="00AA4799">
        <w:rPr>
          <w:rFonts w:ascii="Garamond" w:hAnsi="Garamond"/>
          <w:sz w:val="24"/>
          <w:szCs w:val="24"/>
        </w:rPr>
        <w:br/>
      </w:r>
      <w:r>
        <w:rPr>
          <w:rFonts w:ascii="Garamond" w:hAnsi="Garamond"/>
          <w:sz w:val="24"/>
          <w:szCs w:val="24"/>
        </w:rPr>
        <w:t>*</w:t>
      </w:r>
    </w:p>
    <w:p w:rsidR="00C61628" w:rsidRPr="00C61628" w:rsidRDefault="00C61628" w:rsidP="00C61628">
      <w:pPr>
        <w:rPr>
          <w:rFonts w:ascii="Garamond" w:hAnsi="Garamond"/>
          <w:sz w:val="24"/>
          <w:szCs w:val="24"/>
        </w:rPr>
      </w:pPr>
      <w:r w:rsidRPr="00C61628">
        <w:rPr>
          <w:rFonts w:ascii="Garamond" w:hAnsi="Garamond"/>
          <w:sz w:val="24"/>
          <w:szCs w:val="24"/>
        </w:rPr>
        <w:t>La tenue d’un entretien préalable avec la possibilité de l’assistance permet aux particuliers employeurs de sécuriser juridiquement la rupture de contrat de leur salarié. C’est une solution justifiée par le droit européen</w:t>
      </w:r>
      <w:r w:rsidRPr="00C61628">
        <w:rPr>
          <w:rStyle w:val="Appelnotedebasdep"/>
          <w:rFonts w:ascii="Garamond" w:hAnsi="Garamond"/>
          <w:sz w:val="24"/>
          <w:szCs w:val="24"/>
        </w:rPr>
        <w:footnoteReference w:id="47"/>
      </w:r>
      <w:r w:rsidRPr="00C61628">
        <w:rPr>
          <w:rFonts w:ascii="Garamond" w:hAnsi="Garamond"/>
          <w:sz w:val="24"/>
          <w:szCs w:val="24"/>
        </w:rPr>
        <w:t xml:space="preserve"> et communautaire</w:t>
      </w:r>
      <w:r w:rsidRPr="00C61628">
        <w:rPr>
          <w:rStyle w:val="Appelnotedebasdep"/>
          <w:rFonts w:ascii="Garamond" w:hAnsi="Garamond"/>
          <w:sz w:val="24"/>
          <w:szCs w:val="24"/>
        </w:rPr>
        <w:footnoteReference w:id="48"/>
      </w:r>
      <w:r w:rsidRPr="00C61628">
        <w:rPr>
          <w:rFonts w:ascii="Garamond" w:hAnsi="Garamond"/>
          <w:sz w:val="24"/>
          <w:szCs w:val="24"/>
        </w:rPr>
        <w:t xml:space="preserve">, et proportionnée, de par le respect de l’inviolabilité du domicile. </w:t>
      </w:r>
      <w:r w:rsidRPr="00C61628">
        <w:rPr>
          <w:rFonts w:ascii="Garamond" w:hAnsi="Garamond"/>
          <w:sz w:val="24"/>
          <w:szCs w:val="24"/>
        </w:rPr>
        <w:br/>
        <w:t>Il ne reste qu’aux organisations syndicales et à la FEPEM de s’emparer du sujet avant que la décision ne s’impose de manière prétorienne</w:t>
      </w:r>
      <w:r w:rsidR="007C469B">
        <w:rPr>
          <w:rStyle w:val="Appelnotedebasdep"/>
          <w:rFonts w:ascii="Garamond" w:hAnsi="Garamond"/>
          <w:sz w:val="24"/>
          <w:szCs w:val="24"/>
        </w:rPr>
        <w:footnoteReference w:id="49"/>
      </w:r>
      <w:r w:rsidRPr="00C61628">
        <w:rPr>
          <w:rFonts w:ascii="Garamond" w:hAnsi="Garamond"/>
          <w:sz w:val="24"/>
          <w:szCs w:val="24"/>
        </w:rPr>
        <w:t>. Il est sûr que certains particuliers employeurs ne s’embarrasseront pas d’attendre un accord de branche ou une loi dans le cas o</w:t>
      </w:r>
      <w:r w:rsidR="003A5C2A">
        <w:rPr>
          <w:rFonts w:ascii="Garamond" w:hAnsi="Garamond"/>
          <w:sz w:val="24"/>
          <w:szCs w:val="24"/>
        </w:rPr>
        <w:t>ù</w:t>
      </w:r>
      <w:r w:rsidRPr="00C61628">
        <w:rPr>
          <w:rFonts w:ascii="Garamond" w:hAnsi="Garamond"/>
          <w:sz w:val="24"/>
          <w:szCs w:val="24"/>
        </w:rPr>
        <w:t xml:space="preserve"> ils ne voudraient pas recevoir un conseiller du salarié chez eux, ce qui est leur droit le plus strict, et choisiront d’eux même la délocalisation de l’entretien préalable au licenciement pour une tranquillité juridique assurée.</w:t>
      </w:r>
    </w:p>
    <w:p w:rsidR="00ED6603" w:rsidRDefault="00C61628" w:rsidP="006A3508">
      <w:r w:rsidRPr="00C61628">
        <w:rPr>
          <w:rFonts w:ascii="Garamond" w:hAnsi="Garamond"/>
          <w:sz w:val="24"/>
          <w:szCs w:val="24"/>
        </w:rPr>
        <w:t>Plus globalement, les syndicats, dont la mission est l'étude et la défense des droits ainsi que des intérêts matériels et moraux, tant collectifs qu'individuels, des personnes mentionnées dans leurs statuts</w:t>
      </w:r>
      <w:r w:rsidRPr="00C61628">
        <w:rPr>
          <w:rStyle w:val="Appelnotedebasdep"/>
          <w:rFonts w:ascii="Garamond" w:hAnsi="Garamond"/>
          <w:sz w:val="24"/>
          <w:szCs w:val="24"/>
        </w:rPr>
        <w:footnoteReference w:id="50"/>
      </w:r>
      <w:r w:rsidRPr="00C61628">
        <w:rPr>
          <w:rFonts w:ascii="Garamond" w:hAnsi="Garamond"/>
          <w:sz w:val="24"/>
          <w:szCs w:val="24"/>
        </w:rPr>
        <w:t xml:space="preserve">, seraient bien inspirés de confronter les situations </w:t>
      </w:r>
      <w:r w:rsidR="003A5C2A">
        <w:rPr>
          <w:rFonts w:ascii="Garamond" w:hAnsi="Garamond"/>
          <w:sz w:val="24"/>
          <w:szCs w:val="24"/>
        </w:rPr>
        <w:t>de discrimination indirecte</w:t>
      </w:r>
      <w:r w:rsidRPr="00C61628">
        <w:rPr>
          <w:rFonts w:ascii="Garamond" w:hAnsi="Garamond"/>
          <w:sz w:val="24"/>
          <w:szCs w:val="24"/>
        </w:rPr>
        <w:t xml:space="preserve"> aux dispositions légales et conventionnelles. </w:t>
      </w:r>
      <w:r w:rsidR="004322CA">
        <w:rPr>
          <w:rFonts w:ascii="Garamond" w:hAnsi="Garamond"/>
          <w:sz w:val="24"/>
          <w:szCs w:val="24"/>
        </w:rPr>
        <w:br/>
        <w:t>Tout ceci est sans doute compliqué à mettre en œuvre, dans le but de ne pas recevoir une autre personne, en plus de son salarié, à son domicile. La simplicité étant d’accepter la présence pour un temps très limité d’une personne dépou</w:t>
      </w:r>
      <w:r w:rsidR="006A3508">
        <w:rPr>
          <w:rFonts w:ascii="Garamond" w:hAnsi="Garamond"/>
          <w:sz w:val="24"/>
          <w:szCs w:val="24"/>
        </w:rPr>
        <w:t>rvue de toute autorité.</w:t>
      </w:r>
    </w:p>
    <w:sectPr w:rsidR="00ED6603" w:rsidSect="00D237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B5" w:rsidRDefault="00B834B5" w:rsidP="00496334">
      <w:pPr>
        <w:spacing w:after="0" w:line="240" w:lineRule="auto"/>
      </w:pPr>
      <w:r>
        <w:separator/>
      </w:r>
    </w:p>
  </w:endnote>
  <w:endnote w:type="continuationSeparator" w:id="0">
    <w:p w:rsidR="00B834B5" w:rsidRDefault="00B834B5" w:rsidP="0049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B5" w:rsidRDefault="00B834B5" w:rsidP="00496334">
      <w:pPr>
        <w:spacing w:after="0" w:line="240" w:lineRule="auto"/>
      </w:pPr>
      <w:r>
        <w:separator/>
      </w:r>
    </w:p>
  </w:footnote>
  <w:footnote w:type="continuationSeparator" w:id="0">
    <w:p w:rsidR="00B834B5" w:rsidRDefault="00B834B5" w:rsidP="00496334">
      <w:pPr>
        <w:spacing w:after="0" w:line="240" w:lineRule="auto"/>
      </w:pPr>
      <w:r>
        <w:continuationSeparator/>
      </w:r>
    </w:p>
  </w:footnote>
  <w:footnote w:id="1">
    <w:p w:rsidR="00A01255" w:rsidRPr="00E97EA0" w:rsidRDefault="00A01255" w:rsidP="00A01255">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Loi n°73-680 du 13 juillet 1973 portant modification du Code du travail en ce qui concerne la résiliation du contrat de travail a durée indéterminée.</w:t>
      </w:r>
    </w:p>
  </w:footnote>
  <w:footnote w:id="2">
    <w:p w:rsidR="00A01255" w:rsidRPr="00E97EA0" w:rsidRDefault="00A01255" w:rsidP="00A01255">
      <w:pPr>
        <w:spacing w:after="0" w:line="240" w:lineRule="auto"/>
        <w:rPr>
          <w:rFonts w:ascii="Garamond" w:eastAsia="Times New Roman" w:hAnsi="Garamond" w:cs="Arial"/>
          <w:lang w:eastAsia="fr-FR"/>
        </w:rPr>
      </w:pPr>
      <w:r w:rsidRPr="00E97EA0">
        <w:rPr>
          <w:rStyle w:val="Appelnotedebasdep"/>
          <w:rFonts w:ascii="Garamond" w:hAnsi="Garamond"/>
        </w:rPr>
        <w:footnoteRef/>
      </w:r>
      <w:r w:rsidRPr="00E97EA0">
        <w:rPr>
          <w:rFonts w:ascii="Garamond" w:hAnsi="Garamond"/>
        </w:rPr>
        <w:t xml:space="preserve"> </w:t>
      </w:r>
      <w:r w:rsidRPr="00E97EA0">
        <w:rPr>
          <w:rFonts w:ascii="Garamond" w:eastAsia="Times New Roman" w:hAnsi="Garamond" w:cs="Arial"/>
          <w:lang w:eastAsia="fr-FR"/>
        </w:rPr>
        <w:t xml:space="preserve">C’est le cas pour un licenciement pour motif personnel (article L1232-2 du Code du travail), pour un motif économique si cela ne concerne moins de 10 salariés dans une même période de trente jours (Article L1233-11 du Code du travail). </w:t>
      </w:r>
    </w:p>
  </w:footnote>
  <w:footnote w:id="3">
    <w:p w:rsidR="00A01255" w:rsidRPr="00E97EA0" w:rsidRDefault="00A01255" w:rsidP="00A01255">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Article L1233-38 du Code du travail.</w:t>
      </w:r>
    </w:p>
  </w:footnote>
  <w:footnote w:id="4">
    <w:p w:rsidR="00A01255" w:rsidRPr="00E97EA0" w:rsidRDefault="00A01255" w:rsidP="00A01255">
      <w:pPr>
        <w:spacing w:after="0" w:line="240" w:lineRule="auto"/>
        <w:rPr>
          <w:rFonts w:ascii="Garamond" w:hAnsi="Garamond"/>
        </w:rPr>
      </w:pPr>
      <w:r w:rsidRPr="00E97EA0">
        <w:rPr>
          <w:rStyle w:val="Appelnotedebasdep"/>
          <w:rFonts w:ascii="Garamond" w:hAnsi="Garamond"/>
        </w:rPr>
        <w:footnoteRef/>
      </w:r>
      <w:r w:rsidRPr="00E97EA0">
        <w:rPr>
          <w:rFonts w:ascii="Garamond" w:hAnsi="Garamond"/>
        </w:rPr>
        <w:t xml:space="preserve"> </w:t>
      </w:r>
      <w:r w:rsidRPr="00E97EA0">
        <w:rPr>
          <w:rFonts w:ascii="Garamond" w:eastAsia="Times New Roman" w:hAnsi="Garamond" w:cs="Arial"/>
          <w:lang w:eastAsia="fr-FR"/>
        </w:rPr>
        <w:t xml:space="preserve">Délégués du personnel, membre du comité d’entreprise, membre du CHSCT. </w:t>
      </w:r>
    </w:p>
  </w:footnote>
  <w:footnote w:id="5">
    <w:p w:rsidR="00A01255" w:rsidRPr="00E97EA0" w:rsidRDefault="00A01255" w:rsidP="00A01255">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Article L2314-5 du Code du travail.</w:t>
      </w:r>
    </w:p>
  </w:footnote>
  <w:footnote w:id="6">
    <w:p w:rsidR="00A01255" w:rsidRPr="00E97EA0" w:rsidRDefault="00A01255" w:rsidP="00A01255">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Article L1232-4 du Code du travail.</w:t>
      </w:r>
    </w:p>
  </w:footnote>
  <w:footnote w:id="7">
    <w:p w:rsidR="009C4478" w:rsidRPr="00E97EA0" w:rsidRDefault="009C4478" w:rsidP="009C4478">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w:t>
      </w:r>
      <w:r>
        <w:rPr>
          <w:rFonts w:ascii="Garamond" w:hAnsi="Garamond"/>
          <w:sz w:val="22"/>
          <w:szCs w:val="22"/>
        </w:rPr>
        <w:t>Pour les particuliers, l</w:t>
      </w:r>
      <w:r w:rsidRPr="00E97EA0">
        <w:rPr>
          <w:rFonts w:ascii="Garamond" w:hAnsi="Garamond"/>
          <w:sz w:val="22"/>
          <w:szCs w:val="22"/>
        </w:rPr>
        <w:t>a convention collective applicable se nomme « Convention collective nationale des salariés du particulier employeur du 24 novembre 1999 »</w:t>
      </w:r>
      <w:r w:rsidR="00D101F1">
        <w:rPr>
          <w:rFonts w:ascii="Garamond" w:hAnsi="Garamond"/>
          <w:sz w:val="22"/>
          <w:szCs w:val="22"/>
        </w:rPr>
        <w:t xml:space="preserve">, elle a été </w:t>
      </w:r>
      <w:r w:rsidR="00D101F1" w:rsidRPr="00D101F1">
        <w:rPr>
          <w:rFonts w:ascii="Garamond" w:hAnsi="Garamond"/>
          <w:sz w:val="22"/>
          <w:szCs w:val="22"/>
        </w:rPr>
        <w:t xml:space="preserve">étendue par arrêté ministériel </w:t>
      </w:r>
      <w:r w:rsidR="00D101F1">
        <w:rPr>
          <w:rFonts w:ascii="Garamond" w:hAnsi="Garamond"/>
          <w:sz w:val="22"/>
          <w:szCs w:val="22"/>
        </w:rPr>
        <w:t>le</w:t>
      </w:r>
      <w:r w:rsidR="00D101F1" w:rsidRPr="00D101F1">
        <w:rPr>
          <w:rFonts w:ascii="Garamond" w:hAnsi="Garamond"/>
          <w:sz w:val="22"/>
          <w:szCs w:val="22"/>
        </w:rPr>
        <w:t xml:space="preserve"> 2 mars 2000</w:t>
      </w:r>
      <w:r w:rsidRPr="00E97EA0">
        <w:rPr>
          <w:rFonts w:ascii="Garamond" w:hAnsi="Garamond"/>
          <w:sz w:val="22"/>
          <w:szCs w:val="22"/>
        </w:rPr>
        <w:t>.</w:t>
      </w:r>
    </w:p>
  </w:footnote>
  <w:footnote w:id="8">
    <w:p w:rsidR="00B63983" w:rsidRPr="00E97EA0" w:rsidRDefault="00B63983" w:rsidP="00F24F34">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Article L1232-2 du Code du travail</w:t>
      </w:r>
      <w:r w:rsidR="00F24F34">
        <w:rPr>
          <w:rFonts w:ascii="Garamond" w:hAnsi="Garamond"/>
          <w:sz w:val="22"/>
          <w:szCs w:val="22"/>
        </w:rPr>
        <w:t xml:space="preserve">, </w:t>
      </w:r>
      <w:r w:rsidR="00650B7A">
        <w:rPr>
          <w:rFonts w:ascii="Garamond" w:hAnsi="Garamond"/>
          <w:sz w:val="22"/>
          <w:szCs w:val="22"/>
        </w:rPr>
        <w:t>réponse ministérielle du 26 janvier 2010 à une question de M.</w:t>
      </w:r>
      <w:r w:rsidR="005A3A87">
        <w:rPr>
          <w:rFonts w:ascii="Garamond" w:hAnsi="Garamond"/>
          <w:sz w:val="22"/>
          <w:szCs w:val="22"/>
        </w:rPr>
        <w:t xml:space="preserve"> </w:t>
      </w:r>
      <w:r w:rsidR="00650B7A" w:rsidRPr="00650B7A">
        <w:rPr>
          <w:rFonts w:ascii="Garamond" w:hAnsi="Garamond"/>
          <w:sz w:val="22"/>
          <w:szCs w:val="22"/>
        </w:rPr>
        <w:t>Claude</w:t>
      </w:r>
      <w:r w:rsidR="00650B7A">
        <w:rPr>
          <w:rFonts w:ascii="Garamond" w:hAnsi="Garamond"/>
          <w:sz w:val="22"/>
          <w:szCs w:val="22"/>
        </w:rPr>
        <w:t xml:space="preserve"> </w:t>
      </w:r>
      <w:proofErr w:type="spellStart"/>
      <w:r w:rsidR="00650B7A">
        <w:rPr>
          <w:rFonts w:ascii="Garamond" w:hAnsi="Garamond"/>
          <w:sz w:val="22"/>
          <w:szCs w:val="22"/>
        </w:rPr>
        <w:t>Birraux</w:t>
      </w:r>
      <w:proofErr w:type="spellEnd"/>
      <w:r w:rsidR="00650B7A">
        <w:rPr>
          <w:rFonts w:ascii="Garamond" w:hAnsi="Garamond"/>
          <w:sz w:val="22"/>
          <w:szCs w:val="22"/>
        </w:rPr>
        <w:t>, député, posée le 20 o</w:t>
      </w:r>
      <w:r w:rsidR="00F24F34">
        <w:rPr>
          <w:rFonts w:ascii="Garamond" w:hAnsi="Garamond"/>
          <w:sz w:val="22"/>
          <w:szCs w:val="22"/>
        </w:rPr>
        <w:t xml:space="preserve">ctobre 2009, </w:t>
      </w:r>
      <w:proofErr w:type="spellStart"/>
      <w:r w:rsidR="00F24F34">
        <w:rPr>
          <w:rFonts w:ascii="Garamond" w:hAnsi="Garamond"/>
          <w:sz w:val="22"/>
          <w:szCs w:val="22"/>
        </w:rPr>
        <w:t>Cass</w:t>
      </w:r>
      <w:proofErr w:type="spellEnd"/>
      <w:r w:rsidR="00F24F34">
        <w:rPr>
          <w:rFonts w:ascii="Garamond" w:hAnsi="Garamond"/>
          <w:sz w:val="22"/>
          <w:szCs w:val="22"/>
        </w:rPr>
        <w:t xml:space="preserve">. Soc. </w:t>
      </w:r>
      <w:proofErr w:type="gramStart"/>
      <w:r w:rsidR="00F24F34">
        <w:rPr>
          <w:rFonts w:ascii="Garamond" w:hAnsi="Garamond"/>
          <w:sz w:val="22"/>
          <w:szCs w:val="22"/>
        </w:rPr>
        <w:t>n</w:t>
      </w:r>
      <w:proofErr w:type="gramEnd"/>
      <w:r w:rsidR="00F24F34">
        <w:rPr>
          <w:rFonts w:ascii="Garamond" w:hAnsi="Garamond"/>
          <w:sz w:val="22"/>
          <w:szCs w:val="22"/>
        </w:rPr>
        <w:t>°</w:t>
      </w:r>
      <w:r w:rsidR="00F24F34" w:rsidRPr="00F24F34">
        <w:rPr>
          <w:rFonts w:ascii="Garamond" w:hAnsi="Garamond"/>
          <w:sz w:val="22"/>
          <w:szCs w:val="22"/>
        </w:rPr>
        <w:t xml:space="preserve"> 99-40254 </w:t>
      </w:r>
      <w:r w:rsidR="00F24F34">
        <w:rPr>
          <w:rFonts w:ascii="Garamond" w:hAnsi="Garamond"/>
          <w:sz w:val="22"/>
          <w:szCs w:val="22"/>
        </w:rPr>
        <w:t xml:space="preserve">du </w:t>
      </w:r>
      <w:r w:rsidR="00F24F34" w:rsidRPr="00F24F34">
        <w:rPr>
          <w:rFonts w:ascii="Garamond" w:hAnsi="Garamond"/>
          <w:sz w:val="22"/>
          <w:szCs w:val="22"/>
        </w:rPr>
        <w:t>29 janvier 2002</w:t>
      </w:r>
      <w:r w:rsidR="00F24F34">
        <w:rPr>
          <w:rFonts w:ascii="Garamond" w:hAnsi="Garamond"/>
          <w:sz w:val="22"/>
          <w:szCs w:val="22"/>
        </w:rPr>
        <w:t xml:space="preserve">, n° </w:t>
      </w:r>
      <w:r w:rsidR="00F24F34" w:rsidRPr="00F24F34">
        <w:rPr>
          <w:rFonts w:ascii="Garamond" w:hAnsi="Garamond"/>
          <w:sz w:val="22"/>
          <w:szCs w:val="22"/>
        </w:rPr>
        <w:t>02-41624</w:t>
      </w:r>
      <w:r w:rsidR="00F24F34">
        <w:rPr>
          <w:rFonts w:ascii="Garamond" w:hAnsi="Garamond"/>
          <w:sz w:val="22"/>
          <w:szCs w:val="22"/>
        </w:rPr>
        <w:t xml:space="preserve"> du </w:t>
      </w:r>
      <w:r w:rsidR="00F24F34" w:rsidRPr="00F24F34">
        <w:rPr>
          <w:rFonts w:ascii="Garamond" w:hAnsi="Garamond"/>
          <w:sz w:val="22"/>
          <w:szCs w:val="22"/>
        </w:rPr>
        <w:t>25 février 2004</w:t>
      </w:r>
      <w:r w:rsidR="00F24F34">
        <w:rPr>
          <w:rFonts w:ascii="Garamond" w:hAnsi="Garamond"/>
          <w:sz w:val="22"/>
          <w:szCs w:val="22"/>
        </w:rPr>
        <w:t>.</w:t>
      </w:r>
    </w:p>
  </w:footnote>
  <w:footnote w:id="9">
    <w:p w:rsidR="00BA0BF0" w:rsidRPr="00BA0BF0" w:rsidRDefault="00BA0BF0">
      <w:pPr>
        <w:pStyle w:val="Notedebasdepage"/>
        <w:rPr>
          <w:rFonts w:ascii="Garamond" w:hAnsi="Garamond"/>
          <w:sz w:val="22"/>
          <w:szCs w:val="22"/>
        </w:rPr>
      </w:pPr>
      <w:r w:rsidRPr="00BA0BF0">
        <w:rPr>
          <w:rStyle w:val="Appelnotedebasdep"/>
          <w:rFonts w:ascii="Garamond" w:hAnsi="Garamond"/>
          <w:sz w:val="22"/>
          <w:szCs w:val="22"/>
        </w:rPr>
        <w:footnoteRef/>
      </w:r>
      <w:r w:rsidRPr="00BA0BF0">
        <w:rPr>
          <w:rFonts w:ascii="Garamond" w:hAnsi="Garamond"/>
          <w:sz w:val="22"/>
          <w:szCs w:val="22"/>
        </w:rPr>
        <w:t xml:space="preserve"> Même si certains acceptent quand même la présence du conseiller (100 licenciements, de Didier Schneider, éditions Négatif, pages 211 et 291</w:t>
      </w:r>
      <w:r w:rsidR="00D950D6">
        <w:rPr>
          <w:rFonts w:ascii="Garamond" w:hAnsi="Garamond"/>
          <w:sz w:val="22"/>
          <w:szCs w:val="22"/>
        </w:rPr>
        <w:t>)</w:t>
      </w:r>
      <w:r w:rsidRPr="00BA0BF0">
        <w:rPr>
          <w:rFonts w:ascii="Garamond" w:hAnsi="Garamond"/>
          <w:sz w:val="22"/>
          <w:szCs w:val="22"/>
        </w:rPr>
        <w:t>.</w:t>
      </w:r>
    </w:p>
  </w:footnote>
  <w:footnote w:id="10">
    <w:p w:rsidR="00D77EB2" w:rsidRPr="00D40A26" w:rsidRDefault="00D77EB2">
      <w:pPr>
        <w:pStyle w:val="Notedebasdepage"/>
        <w:rPr>
          <w:rFonts w:ascii="Garamond" w:hAnsi="Garamond"/>
          <w:sz w:val="22"/>
          <w:szCs w:val="22"/>
        </w:rPr>
      </w:pPr>
      <w:r w:rsidRPr="00E97EA0">
        <w:rPr>
          <w:rStyle w:val="Appelnotedebasdep"/>
          <w:rFonts w:ascii="Garamond" w:hAnsi="Garamond"/>
          <w:sz w:val="22"/>
          <w:szCs w:val="22"/>
        </w:rPr>
        <w:footnoteRef/>
      </w:r>
      <w:r w:rsidRPr="00E97EA0">
        <w:rPr>
          <w:rFonts w:ascii="Garamond" w:hAnsi="Garamond"/>
          <w:sz w:val="22"/>
          <w:szCs w:val="22"/>
        </w:rPr>
        <w:t xml:space="preserve"> </w:t>
      </w:r>
      <w:proofErr w:type="spellStart"/>
      <w:r w:rsidR="00D40A26" w:rsidRPr="00E97EA0">
        <w:rPr>
          <w:rFonts w:ascii="Garamond" w:hAnsi="Garamond"/>
          <w:sz w:val="22"/>
          <w:szCs w:val="22"/>
        </w:rPr>
        <w:t>Cass</w:t>
      </w:r>
      <w:proofErr w:type="spellEnd"/>
      <w:r w:rsidR="00D40A26" w:rsidRPr="00E97EA0">
        <w:rPr>
          <w:rFonts w:ascii="Garamond" w:hAnsi="Garamond"/>
          <w:sz w:val="22"/>
          <w:szCs w:val="22"/>
        </w:rPr>
        <w:t xml:space="preserve">. </w:t>
      </w:r>
      <w:proofErr w:type="gramStart"/>
      <w:r w:rsidR="00D40A26" w:rsidRPr="00E97EA0">
        <w:rPr>
          <w:rFonts w:ascii="Garamond" w:hAnsi="Garamond"/>
          <w:sz w:val="22"/>
          <w:szCs w:val="22"/>
        </w:rPr>
        <w:t>soc</w:t>
      </w:r>
      <w:proofErr w:type="gramEnd"/>
      <w:r w:rsidR="00D40A26" w:rsidRPr="00E97EA0">
        <w:rPr>
          <w:rFonts w:ascii="Garamond" w:hAnsi="Garamond"/>
          <w:sz w:val="22"/>
          <w:szCs w:val="22"/>
        </w:rPr>
        <w:t>. 4 juin 1998, n°95-44693, "Attendu, ensuite, que l’article L. 122-14 du Code</w:t>
      </w:r>
      <w:r w:rsidR="00D40A26" w:rsidRPr="005869A6">
        <w:rPr>
          <w:rFonts w:ascii="Garamond" w:hAnsi="Garamond"/>
          <w:sz w:val="22"/>
          <w:szCs w:val="22"/>
        </w:rPr>
        <w:t xml:space="preserve"> du travail ne prévoit l’assistance du salarié par un conseiller de son choix qu’en l’absence d’institutions représentatives du personnel dans l’entreprise ; qu’il en résulte que cette disposition, applicable uniquement au personnel des entreprises, ne s’applique pas au personnel employé de maison au sens de l’article L. 772-1 du Code du travail".</w:t>
      </w:r>
    </w:p>
  </w:footnote>
  <w:footnote w:id="11">
    <w:p w:rsidR="00C855A2" w:rsidRPr="00493505" w:rsidRDefault="00C855A2" w:rsidP="003244FF">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Article L1232-7 du Code du travail</w:t>
      </w:r>
      <w:r w:rsidR="00D40A26" w:rsidRPr="00493505">
        <w:rPr>
          <w:rFonts w:ascii="Garamond" w:hAnsi="Garamond"/>
          <w:sz w:val="22"/>
          <w:szCs w:val="22"/>
        </w:rPr>
        <w:t xml:space="preserve"> (anciennement L122-14) « </w:t>
      </w:r>
      <w:r w:rsidR="00D40A26" w:rsidRPr="00493505">
        <w:rPr>
          <w:rFonts w:ascii="Garamond" w:hAnsi="Garamond"/>
          <w:i/>
          <w:sz w:val="22"/>
          <w:szCs w:val="22"/>
        </w:rPr>
        <w:t xml:space="preserve">Le conseiller du salarié est chargé d’assister le salarié lors de l’entretien préalable au licenciement dans les </w:t>
      </w:r>
      <w:r w:rsidR="00D40A26" w:rsidRPr="009532D2">
        <w:rPr>
          <w:rFonts w:ascii="Garamond" w:hAnsi="Garamond"/>
          <w:i/>
          <w:sz w:val="22"/>
          <w:szCs w:val="22"/>
          <w:u w:val="single"/>
        </w:rPr>
        <w:t>entreprises</w:t>
      </w:r>
      <w:r w:rsidR="00D40A26" w:rsidRPr="009532D2">
        <w:rPr>
          <w:rFonts w:ascii="Garamond" w:hAnsi="Garamond"/>
          <w:i/>
          <w:sz w:val="22"/>
          <w:szCs w:val="22"/>
        </w:rPr>
        <w:t xml:space="preserve"> </w:t>
      </w:r>
      <w:r w:rsidR="00D40A26" w:rsidRPr="00493505">
        <w:rPr>
          <w:rFonts w:ascii="Garamond" w:hAnsi="Garamond"/>
          <w:i/>
          <w:sz w:val="22"/>
          <w:szCs w:val="22"/>
        </w:rPr>
        <w:t>dépourvues d’institutions représentatives du personnel.</w:t>
      </w:r>
      <w:r w:rsidR="00D40A26" w:rsidRPr="00493505">
        <w:rPr>
          <w:rFonts w:ascii="Garamond" w:hAnsi="Garamond"/>
          <w:sz w:val="22"/>
          <w:szCs w:val="22"/>
        </w:rPr>
        <w:t> »</w:t>
      </w:r>
    </w:p>
  </w:footnote>
  <w:footnote w:id="12">
    <w:p w:rsidR="00D40A26" w:rsidRPr="00493505" w:rsidRDefault="00D40A26" w:rsidP="003244FF">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Ce qui implique aussi, littéralement, que les salariés des associations ne puis</w:t>
      </w:r>
      <w:r w:rsidR="009532D2">
        <w:rPr>
          <w:rFonts w:ascii="Garamond" w:hAnsi="Garamond"/>
          <w:sz w:val="22"/>
          <w:szCs w:val="22"/>
        </w:rPr>
        <w:t>sent non plus se faire assister, car une association n’</w:t>
      </w:r>
      <w:r w:rsidR="000B5832">
        <w:rPr>
          <w:rFonts w:ascii="Garamond" w:hAnsi="Garamond"/>
          <w:sz w:val="22"/>
          <w:szCs w:val="22"/>
        </w:rPr>
        <w:t>est pas une entreprise, pas plus qu’</w:t>
      </w:r>
      <w:r w:rsidR="00B31664">
        <w:rPr>
          <w:rFonts w:ascii="Garamond" w:hAnsi="Garamond"/>
          <w:sz w:val="22"/>
          <w:szCs w:val="22"/>
        </w:rPr>
        <w:t>un syndicat ou un GIE.</w:t>
      </w:r>
    </w:p>
  </w:footnote>
  <w:footnote w:id="13">
    <w:p w:rsidR="0006345D" w:rsidRPr="0006345D" w:rsidRDefault="0006345D">
      <w:pPr>
        <w:pStyle w:val="Notedebasdepage"/>
        <w:rPr>
          <w:rFonts w:ascii="Garamond" w:hAnsi="Garamond"/>
          <w:sz w:val="22"/>
          <w:szCs w:val="22"/>
        </w:rPr>
      </w:pPr>
      <w:r w:rsidRPr="0006345D">
        <w:rPr>
          <w:rStyle w:val="Appelnotedebasdep"/>
          <w:rFonts w:ascii="Garamond" w:hAnsi="Garamond"/>
          <w:sz w:val="22"/>
          <w:szCs w:val="22"/>
        </w:rPr>
        <w:footnoteRef/>
      </w:r>
      <w:r w:rsidRPr="0006345D">
        <w:rPr>
          <w:rFonts w:ascii="Garamond" w:hAnsi="Garamond"/>
          <w:sz w:val="22"/>
          <w:szCs w:val="22"/>
        </w:rPr>
        <w:t xml:space="preserve"> La transcription des débats parlementaires des séances des 16 mai 1990, 8 octobre 1990 et 28 novembre 1990 </w:t>
      </w:r>
      <w:r w:rsidR="009828ED">
        <w:rPr>
          <w:rFonts w:ascii="Garamond" w:hAnsi="Garamond"/>
          <w:sz w:val="22"/>
          <w:szCs w:val="22"/>
        </w:rPr>
        <w:t xml:space="preserve">sur les conseillers du salarié </w:t>
      </w:r>
      <w:r w:rsidRPr="0006345D">
        <w:rPr>
          <w:rFonts w:ascii="Garamond" w:hAnsi="Garamond"/>
          <w:sz w:val="22"/>
          <w:szCs w:val="22"/>
        </w:rPr>
        <w:t xml:space="preserve">n’ont </w:t>
      </w:r>
      <w:r>
        <w:rPr>
          <w:rFonts w:ascii="Garamond" w:hAnsi="Garamond"/>
          <w:sz w:val="22"/>
          <w:szCs w:val="22"/>
        </w:rPr>
        <w:t xml:space="preserve">pas </w:t>
      </w:r>
      <w:r w:rsidRPr="0006345D">
        <w:rPr>
          <w:rFonts w:ascii="Garamond" w:hAnsi="Garamond"/>
          <w:sz w:val="22"/>
          <w:szCs w:val="22"/>
        </w:rPr>
        <w:t>fait état du domicile des particuliers.</w:t>
      </w:r>
    </w:p>
  </w:footnote>
  <w:footnote w:id="14">
    <w:p w:rsidR="00E50084" w:rsidRPr="00493505" w:rsidRDefault="00E50084" w:rsidP="003244FF">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La Cour de cassation</w:t>
      </w:r>
      <w:r w:rsidR="00F4535A">
        <w:rPr>
          <w:rFonts w:ascii="Garamond" w:hAnsi="Garamond"/>
          <w:sz w:val="22"/>
          <w:szCs w:val="22"/>
        </w:rPr>
        <w:t xml:space="preserve">, dans l’arrêt n° </w:t>
      </w:r>
      <w:r w:rsidR="00F4535A" w:rsidRPr="00E97EA0">
        <w:rPr>
          <w:rFonts w:ascii="Garamond" w:hAnsi="Garamond"/>
          <w:sz w:val="22"/>
          <w:szCs w:val="22"/>
        </w:rPr>
        <w:t>95-44693</w:t>
      </w:r>
      <w:r w:rsidR="00F4535A">
        <w:rPr>
          <w:rFonts w:ascii="Garamond" w:hAnsi="Garamond"/>
          <w:sz w:val="22"/>
          <w:szCs w:val="22"/>
        </w:rPr>
        <w:t xml:space="preserve"> précité,</w:t>
      </w:r>
      <w:r w:rsidRPr="00493505">
        <w:rPr>
          <w:rFonts w:ascii="Garamond" w:hAnsi="Garamond"/>
          <w:sz w:val="22"/>
          <w:szCs w:val="22"/>
        </w:rPr>
        <w:t xml:space="preserve"> ne cite pas la Déclaration des droits de l’homme et du citoyen, ni la Constitution, ni un principe constitutionnel, ni le mot ‘propriété’. </w:t>
      </w:r>
    </w:p>
  </w:footnote>
  <w:footnote w:id="15">
    <w:p w:rsidR="00C855A2" w:rsidRPr="00EB737E" w:rsidRDefault="00C855A2" w:rsidP="003244FF">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http://www.conseil-constitutionnel.fr/conseil-constitutionnel/francais/la-constitution/la-constitution-</w:t>
      </w:r>
      <w:r w:rsidRPr="00EB737E">
        <w:rPr>
          <w:rFonts w:ascii="Garamond" w:hAnsi="Garamond"/>
          <w:sz w:val="22"/>
          <w:szCs w:val="22"/>
        </w:rPr>
        <w:t>du-4-octobre-1958/la-constitution-du-4-octobre-1958.5071.html</w:t>
      </w:r>
    </w:p>
  </w:footnote>
  <w:footnote w:id="16">
    <w:p w:rsidR="00EB737E" w:rsidRDefault="00EB737E">
      <w:pPr>
        <w:pStyle w:val="Notedebasdepage"/>
      </w:pPr>
      <w:r w:rsidRPr="00EB737E">
        <w:rPr>
          <w:rStyle w:val="Appelnotedebasdep"/>
          <w:rFonts w:ascii="Garamond" w:hAnsi="Garamond"/>
          <w:sz w:val="22"/>
          <w:szCs w:val="22"/>
        </w:rPr>
        <w:footnoteRef/>
      </w:r>
      <w:r w:rsidRPr="00EB737E">
        <w:rPr>
          <w:rFonts w:ascii="Garamond" w:hAnsi="Garamond"/>
          <w:sz w:val="22"/>
          <w:szCs w:val="22"/>
        </w:rPr>
        <w:t xml:space="preserve"> Conseil constitutionnel, décision n° 83-164 DC du 29 décembre 1983</w:t>
      </w:r>
    </w:p>
  </w:footnote>
  <w:footnote w:id="17">
    <w:p w:rsidR="008D2F01" w:rsidRPr="00493505" w:rsidRDefault="008D2F01">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Convention collective nationale des salaries du particulier employeur, signée le 24 novembre 1999, étendue par arrêté ministériel en date du 2 mars 2000.</w:t>
      </w:r>
    </w:p>
  </w:footnote>
  <w:footnote w:id="18">
    <w:p w:rsidR="00493505" w:rsidRPr="00493505" w:rsidRDefault="00493505">
      <w:pPr>
        <w:pStyle w:val="Notedebasdepage"/>
        <w:rPr>
          <w:rFonts w:ascii="Garamond" w:hAnsi="Garamond"/>
          <w:sz w:val="22"/>
          <w:szCs w:val="22"/>
        </w:rPr>
      </w:pPr>
      <w:r w:rsidRPr="00493505">
        <w:rPr>
          <w:rStyle w:val="Appelnotedebasdep"/>
          <w:rFonts w:ascii="Garamond" w:hAnsi="Garamond"/>
          <w:sz w:val="22"/>
          <w:szCs w:val="22"/>
        </w:rPr>
        <w:footnoteRef/>
      </w:r>
      <w:r w:rsidRPr="00493505">
        <w:rPr>
          <w:rFonts w:ascii="Garamond" w:hAnsi="Garamond"/>
          <w:sz w:val="22"/>
          <w:szCs w:val="22"/>
        </w:rPr>
        <w:t xml:space="preserve"> Au-delà du droit de propriété, le libellé ‘domicile privé’ renvoie aussi à l’article 9 du Code civil : </w:t>
      </w:r>
      <w:r w:rsidRPr="00493505">
        <w:rPr>
          <w:rFonts w:ascii="Garamond" w:hAnsi="Garamond"/>
          <w:i/>
          <w:sz w:val="22"/>
          <w:szCs w:val="22"/>
        </w:rPr>
        <w:t>« Chacun a droit au respect de sa vie privée.</w:t>
      </w:r>
      <w:r w:rsidRPr="00493505">
        <w:rPr>
          <w:rFonts w:ascii="Garamond" w:hAnsi="Garamond"/>
          <w:sz w:val="22"/>
          <w:szCs w:val="22"/>
        </w:rPr>
        <w:t> »</w:t>
      </w:r>
      <w:r w:rsidR="009E6D1D">
        <w:rPr>
          <w:rFonts w:ascii="Garamond" w:hAnsi="Garamond"/>
          <w:sz w:val="22"/>
          <w:szCs w:val="22"/>
        </w:rPr>
        <w:t xml:space="preserve"> ainsi qu’à l’article 8 de la CE</w:t>
      </w:r>
      <w:r w:rsidR="00E06FB7">
        <w:rPr>
          <w:rFonts w:ascii="Garamond" w:hAnsi="Garamond"/>
          <w:sz w:val="22"/>
          <w:szCs w:val="22"/>
        </w:rPr>
        <w:t>S</w:t>
      </w:r>
      <w:r w:rsidR="009E6D1D">
        <w:rPr>
          <w:rFonts w:ascii="Garamond" w:hAnsi="Garamond"/>
          <w:sz w:val="22"/>
          <w:szCs w:val="22"/>
        </w:rPr>
        <w:t>DH qui garantie le même principe.</w:t>
      </w:r>
    </w:p>
  </w:footnote>
  <w:footnote w:id="19">
    <w:p w:rsidR="008D2F01" w:rsidRPr="002D7BEE" w:rsidRDefault="008D2F01">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"La Cour a jugé l’article 6 § 1 applicable à des contestations portant sur des questions sociales, notamment à une procédure relative au licenciement d’un employé par une entreprise privée", Arrêt </w:t>
      </w:r>
      <w:proofErr w:type="spellStart"/>
      <w:r w:rsidRPr="002D7BEE">
        <w:rPr>
          <w:rFonts w:ascii="Garamond" w:hAnsi="Garamond"/>
          <w:sz w:val="22"/>
          <w:szCs w:val="22"/>
        </w:rPr>
        <w:t>Buchholz</w:t>
      </w:r>
      <w:proofErr w:type="spellEnd"/>
      <w:r w:rsidRPr="002D7BEE">
        <w:rPr>
          <w:rFonts w:ascii="Garamond" w:hAnsi="Garamond"/>
          <w:sz w:val="22"/>
          <w:szCs w:val="22"/>
        </w:rPr>
        <w:t xml:space="preserve"> c/ Allemagne, CESDH, 6 mai 1981, cité dans le Guide sur l'article 6 de la CESDH, édité par le Conseil de l’Europe/Cour européenne des droits de l’homme, 2013.</w:t>
      </w:r>
    </w:p>
  </w:footnote>
  <w:footnote w:id="20">
    <w:p w:rsidR="002A7CB4" w:rsidRPr="002D7BEE" w:rsidRDefault="002A7CB4">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Il n’est pas exclu de penser que la CESDH étire aussi la possibilité de l’assistance aux salariés en CDD dont le contrat de travail est rompu avant la fin prévue, ce que le droit interne prohibe actuellement. </w:t>
      </w:r>
      <w:r w:rsidR="00BD03D5">
        <w:rPr>
          <w:rFonts w:ascii="Garamond" w:hAnsi="Garamond"/>
          <w:sz w:val="22"/>
          <w:szCs w:val="22"/>
        </w:rPr>
        <w:t>Une rupture anticipée de contrat et un licenciement peuvent être tous deux qualifiés de ‘rupture de contrat de travail à l’initiative de l’employeur’, et à ce titre, l’un des deux ne peut subir une différence de traitement que si cela est justifié et proportionné.</w:t>
      </w:r>
    </w:p>
  </w:footnote>
  <w:footnote w:id="21">
    <w:p w:rsidR="0006345D" w:rsidRPr="002D7BEE" w:rsidRDefault="0006345D">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www.dalloz-actualite.fr/printpdf/essentiel/servitude-et-travail-force-france-toujours-sur-sellette-europeenne</w:t>
      </w:r>
    </w:p>
  </w:footnote>
  <w:footnote w:id="22">
    <w:p w:rsidR="00A5173F" w:rsidRPr="002D7BEE" w:rsidRDefault="00A5173F">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Direction de l’animation de la recherche, des études et des statistiques, rattachée au </w:t>
      </w:r>
      <w:r w:rsidR="00F1099A" w:rsidRPr="002D7BEE">
        <w:rPr>
          <w:rFonts w:ascii="Garamond" w:hAnsi="Garamond"/>
          <w:sz w:val="22"/>
          <w:szCs w:val="22"/>
        </w:rPr>
        <w:t>M</w:t>
      </w:r>
      <w:r w:rsidRPr="002D7BEE">
        <w:rPr>
          <w:rFonts w:ascii="Garamond" w:hAnsi="Garamond"/>
          <w:sz w:val="22"/>
          <w:szCs w:val="22"/>
        </w:rPr>
        <w:t>inistère du travail de l'emploi de la formation professionnelle et du dialogue social</w:t>
      </w:r>
      <w:r w:rsidR="00E22A64" w:rsidRPr="002D7BEE">
        <w:rPr>
          <w:rFonts w:ascii="Garamond" w:hAnsi="Garamond"/>
          <w:sz w:val="22"/>
          <w:szCs w:val="22"/>
        </w:rPr>
        <w:t>.</w:t>
      </w:r>
    </w:p>
  </w:footnote>
  <w:footnote w:id="23">
    <w:p w:rsidR="00DE23AE" w:rsidRPr="002D7BEE" w:rsidRDefault="00DE23AE">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w:t>
      </w:r>
      <w:hyperlink r:id="rId1" w:history="1">
        <w:r w:rsidRPr="002D7BEE">
          <w:rPr>
            <w:rStyle w:val="Lienhypertexte"/>
            <w:rFonts w:ascii="Garamond" w:hAnsi="Garamond"/>
            <w:sz w:val="22"/>
            <w:szCs w:val="22"/>
          </w:rPr>
          <w:t>http://dares.travail-emploi.gouv.fr/IMG/xls/dares_analyses_082-_donnees_a_telecharger.xls</w:t>
        </w:r>
      </w:hyperlink>
    </w:p>
  </w:footnote>
  <w:footnote w:id="24">
    <w:p w:rsidR="00323A9B" w:rsidRPr="002D7BEE" w:rsidRDefault="00323A9B" w:rsidP="00323A9B">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Les assistants maternels, des femmes, pour environ 97%, dépendent actuellement essentiellement de la</w:t>
      </w:r>
      <w:r w:rsidR="005A3A87" w:rsidRPr="002D7BEE">
        <w:rPr>
          <w:rFonts w:ascii="Garamond" w:hAnsi="Garamond"/>
          <w:sz w:val="22"/>
          <w:szCs w:val="22"/>
        </w:rPr>
        <w:t xml:space="preserve"> </w:t>
      </w:r>
      <w:r w:rsidRPr="002D7BEE">
        <w:rPr>
          <w:rFonts w:ascii="Garamond" w:hAnsi="Garamond"/>
          <w:sz w:val="22"/>
          <w:szCs w:val="22"/>
        </w:rPr>
        <w:t>convention collective nationale des assistants maternels du particulier employeur, et du Code de l’action sociale et des familles.</w:t>
      </w:r>
      <w:r w:rsidR="00E7178A">
        <w:rPr>
          <w:rFonts w:ascii="Garamond" w:hAnsi="Garamond"/>
          <w:sz w:val="22"/>
          <w:szCs w:val="22"/>
        </w:rPr>
        <w:t xml:space="preserve"> </w:t>
      </w:r>
    </w:p>
  </w:footnote>
  <w:footnote w:id="25">
    <w:p w:rsidR="00D463CF" w:rsidRPr="002D7BEE" w:rsidRDefault="00D463CF">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http://www.inegalites.fr/spip.php?page=article&amp;id_article=1048</w:t>
      </w:r>
    </w:p>
  </w:footnote>
  <w:footnote w:id="26">
    <w:p w:rsidR="00F24C3C" w:rsidRPr="002D7BEE" w:rsidRDefault="00F24C3C">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Article L 1332-1 du Code du travail</w:t>
      </w:r>
      <w:r w:rsidR="00DB5F30" w:rsidRPr="002D7BEE">
        <w:rPr>
          <w:rFonts w:ascii="Garamond" w:hAnsi="Garamond"/>
          <w:sz w:val="22"/>
          <w:szCs w:val="22"/>
        </w:rPr>
        <w:t xml:space="preserve">, </w:t>
      </w:r>
      <w:r w:rsidR="00323A9B" w:rsidRPr="002D7BEE">
        <w:rPr>
          <w:rFonts w:ascii="Garamond" w:hAnsi="Garamond"/>
          <w:sz w:val="22"/>
          <w:szCs w:val="22"/>
        </w:rPr>
        <w:t>article 157 du Traité sur le fonctionnement de l’Union européenne.</w:t>
      </w:r>
    </w:p>
  </w:footnote>
  <w:footnote w:id="27">
    <w:p w:rsidR="005C2DB6" w:rsidRPr="002D7BEE" w:rsidRDefault="005C2DB6">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w:t>
      </w:r>
      <w:proofErr w:type="spellStart"/>
      <w:r w:rsidRPr="002D7BEE">
        <w:rPr>
          <w:rFonts w:ascii="Garamond" w:hAnsi="Garamond"/>
          <w:sz w:val="22"/>
          <w:szCs w:val="22"/>
        </w:rPr>
        <w:t>Cass</w:t>
      </w:r>
      <w:proofErr w:type="spellEnd"/>
      <w:r w:rsidRPr="002D7BEE">
        <w:rPr>
          <w:rFonts w:ascii="Garamond" w:hAnsi="Garamond"/>
          <w:sz w:val="22"/>
          <w:szCs w:val="22"/>
        </w:rPr>
        <w:t xml:space="preserve">. </w:t>
      </w:r>
      <w:proofErr w:type="gramStart"/>
      <w:r w:rsidRPr="002D7BEE">
        <w:rPr>
          <w:rFonts w:ascii="Garamond" w:hAnsi="Garamond"/>
          <w:sz w:val="22"/>
          <w:szCs w:val="22"/>
        </w:rPr>
        <w:t>soc.,</w:t>
      </w:r>
      <w:proofErr w:type="gramEnd"/>
      <w:r w:rsidRPr="002D7BEE">
        <w:rPr>
          <w:rFonts w:ascii="Garamond" w:hAnsi="Garamond"/>
          <w:sz w:val="22"/>
          <w:szCs w:val="22"/>
        </w:rPr>
        <w:t xml:space="preserve"> 1 décembre 2009, n°07-42.801</w:t>
      </w:r>
      <w:r w:rsidR="00551F0C" w:rsidRPr="002D7BEE">
        <w:rPr>
          <w:rFonts w:ascii="Garamond" w:hAnsi="Garamond"/>
          <w:sz w:val="22"/>
          <w:szCs w:val="22"/>
        </w:rPr>
        <w:t xml:space="preserve">, </w:t>
      </w:r>
      <w:proofErr w:type="spellStart"/>
      <w:r w:rsidR="00551F0C" w:rsidRPr="002D7BEE">
        <w:rPr>
          <w:rFonts w:ascii="Garamond" w:hAnsi="Garamond"/>
          <w:sz w:val="22"/>
          <w:szCs w:val="22"/>
        </w:rPr>
        <w:t>Cass</w:t>
      </w:r>
      <w:proofErr w:type="spellEnd"/>
      <w:r w:rsidR="00551F0C" w:rsidRPr="002D7BEE">
        <w:rPr>
          <w:rFonts w:ascii="Garamond" w:hAnsi="Garamond"/>
          <w:sz w:val="22"/>
          <w:szCs w:val="22"/>
        </w:rPr>
        <w:t xml:space="preserve">. </w:t>
      </w:r>
      <w:proofErr w:type="gramStart"/>
      <w:r w:rsidR="00551F0C" w:rsidRPr="002D7BEE">
        <w:rPr>
          <w:rFonts w:ascii="Garamond" w:hAnsi="Garamond"/>
          <w:sz w:val="22"/>
          <w:szCs w:val="22"/>
        </w:rPr>
        <w:t>soc.,</w:t>
      </w:r>
      <w:proofErr w:type="gramEnd"/>
      <w:r w:rsidR="00551F0C" w:rsidRPr="002D7BEE">
        <w:rPr>
          <w:rFonts w:ascii="Garamond" w:hAnsi="Garamond"/>
          <w:sz w:val="22"/>
          <w:szCs w:val="22"/>
        </w:rPr>
        <w:t xml:space="preserve"> 3 </w:t>
      </w:r>
      <w:proofErr w:type="spellStart"/>
      <w:r w:rsidR="00551F0C" w:rsidRPr="002D7BEE">
        <w:rPr>
          <w:rFonts w:ascii="Garamond" w:hAnsi="Garamond"/>
          <w:sz w:val="22"/>
          <w:szCs w:val="22"/>
        </w:rPr>
        <w:t>juill</w:t>
      </w:r>
      <w:proofErr w:type="spellEnd"/>
      <w:r w:rsidR="00551F0C" w:rsidRPr="002D7BEE">
        <w:rPr>
          <w:rFonts w:ascii="Garamond" w:hAnsi="Garamond"/>
          <w:sz w:val="22"/>
          <w:szCs w:val="22"/>
        </w:rPr>
        <w:t>. 2012, no 10-23.013</w:t>
      </w:r>
    </w:p>
  </w:footnote>
  <w:footnote w:id="28">
    <w:p w:rsidR="005C2DB6" w:rsidRPr="00A55A54" w:rsidRDefault="005C2DB6">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w:t>
      </w:r>
      <w:r w:rsidR="007C67C3" w:rsidRPr="002D7BEE">
        <w:rPr>
          <w:rFonts w:ascii="Garamond" w:hAnsi="Garamond"/>
          <w:sz w:val="22"/>
          <w:szCs w:val="22"/>
        </w:rPr>
        <w:t>A</w:t>
      </w:r>
      <w:r w:rsidRPr="002D7BEE">
        <w:rPr>
          <w:rFonts w:ascii="Garamond" w:hAnsi="Garamond"/>
          <w:sz w:val="22"/>
          <w:szCs w:val="22"/>
        </w:rPr>
        <w:t xml:space="preserve">rrêt </w:t>
      </w:r>
      <w:proofErr w:type="spellStart"/>
      <w:r w:rsidRPr="002D7BEE">
        <w:rPr>
          <w:rFonts w:ascii="Garamond" w:hAnsi="Garamond"/>
          <w:sz w:val="22"/>
          <w:szCs w:val="22"/>
        </w:rPr>
        <w:t>Bilka</w:t>
      </w:r>
      <w:proofErr w:type="spellEnd"/>
      <w:r w:rsidRPr="002D7BEE">
        <w:rPr>
          <w:rFonts w:ascii="Garamond" w:hAnsi="Garamond"/>
          <w:sz w:val="22"/>
          <w:szCs w:val="22"/>
        </w:rPr>
        <w:t xml:space="preserve"> du 13 mai 1986 (affaire 170/84)</w:t>
      </w:r>
    </w:p>
  </w:footnote>
  <w:footnote w:id="29">
    <w:p w:rsidR="00A55A54" w:rsidRDefault="00A55A54" w:rsidP="00A55A54">
      <w:pPr>
        <w:pStyle w:val="Notedebasdepage"/>
      </w:pPr>
      <w:r w:rsidRPr="00A55A54">
        <w:rPr>
          <w:rStyle w:val="Appelnotedebasdep"/>
          <w:rFonts w:ascii="Garamond" w:hAnsi="Garamond"/>
          <w:sz w:val="22"/>
          <w:szCs w:val="22"/>
        </w:rPr>
        <w:footnoteRef/>
      </w:r>
      <w:r w:rsidRPr="00A55A54">
        <w:rPr>
          <w:rFonts w:ascii="Garamond" w:hAnsi="Garamond"/>
          <w:sz w:val="22"/>
          <w:szCs w:val="22"/>
        </w:rPr>
        <w:t xml:space="preserve"> Article R. 1232-1du Code du travail : La lettre de convocation prévue à l'article L. 1232-2 indique l'objet de l'entretien entre le salarié et l'employeur.</w:t>
      </w:r>
      <w:r w:rsidR="005A3A87">
        <w:rPr>
          <w:rFonts w:ascii="Garamond" w:hAnsi="Garamond"/>
          <w:sz w:val="22"/>
          <w:szCs w:val="22"/>
        </w:rPr>
        <w:t xml:space="preserve"> </w:t>
      </w:r>
      <w:r w:rsidRPr="00A55A54">
        <w:rPr>
          <w:rFonts w:ascii="Garamond" w:hAnsi="Garamond"/>
          <w:sz w:val="22"/>
          <w:szCs w:val="22"/>
        </w:rPr>
        <w:t>Elle précise la date, l'heure et le lieu de cet entretien. Elle rappelle que le salarié peut se faire assister pour cet entretien par une personne de son choix appartenant au personnel de l'entreprise ou, en l'absence d'institutions représentatives dans l'entreprise, par un conseiller du salarié.</w:t>
      </w:r>
    </w:p>
  </w:footnote>
  <w:footnote w:id="30">
    <w:p w:rsidR="00E168EA" w:rsidRPr="003B5FE2" w:rsidRDefault="00E168EA">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w:t>
      </w:r>
      <w:proofErr w:type="spellStart"/>
      <w:r w:rsidRPr="003B5FE2">
        <w:rPr>
          <w:rFonts w:ascii="Garamond" w:hAnsi="Garamond"/>
          <w:sz w:val="22"/>
          <w:szCs w:val="22"/>
        </w:rPr>
        <w:t>Cass</w:t>
      </w:r>
      <w:proofErr w:type="spellEnd"/>
      <w:r w:rsidRPr="003B5FE2">
        <w:rPr>
          <w:rFonts w:ascii="Garamond" w:hAnsi="Garamond"/>
          <w:sz w:val="22"/>
          <w:szCs w:val="22"/>
        </w:rPr>
        <w:t xml:space="preserve">. </w:t>
      </w:r>
      <w:proofErr w:type="gramStart"/>
      <w:r w:rsidRPr="003B5FE2">
        <w:rPr>
          <w:rFonts w:ascii="Garamond" w:hAnsi="Garamond"/>
          <w:sz w:val="22"/>
          <w:szCs w:val="22"/>
        </w:rPr>
        <w:t>soc</w:t>
      </w:r>
      <w:proofErr w:type="gramEnd"/>
      <w:r w:rsidRPr="003B5FE2">
        <w:rPr>
          <w:rFonts w:ascii="Garamond" w:hAnsi="Garamond"/>
          <w:sz w:val="22"/>
          <w:szCs w:val="22"/>
        </w:rPr>
        <w:t>. 3 octobre 1995, n°94-40995.</w:t>
      </w:r>
    </w:p>
  </w:footnote>
  <w:footnote w:id="31">
    <w:p w:rsidR="00E168EA" w:rsidRPr="003B5FE2" w:rsidRDefault="00E168EA">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w:t>
      </w:r>
      <w:proofErr w:type="spellStart"/>
      <w:r w:rsidR="0030262A" w:rsidRPr="003B5FE2">
        <w:rPr>
          <w:rFonts w:ascii="Garamond" w:hAnsi="Garamond"/>
          <w:sz w:val="22"/>
          <w:szCs w:val="22"/>
        </w:rPr>
        <w:t>Cass</w:t>
      </w:r>
      <w:proofErr w:type="spellEnd"/>
      <w:r w:rsidR="0030262A" w:rsidRPr="003B5FE2">
        <w:rPr>
          <w:rFonts w:ascii="Garamond" w:hAnsi="Garamond"/>
          <w:sz w:val="22"/>
          <w:szCs w:val="22"/>
        </w:rPr>
        <w:t xml:space="preserve">. Soc. 9 mai 2000, n° 97-45294 et </w:t>
      </w:r>
      <w:proofErr w:type="spellStart"/>
      <w:r w:rsidRPr="003B5FE2">
        <w:rPr>
          <w:rFonts w:ascii="Garamond" w:hAnsi="Garamond"/>
          <w:sz w:val="22"/>
          <w:szCs w:val="22"/>
        </w:rPr>
        <w:t>Cass</w:t>
      </w:r>
      <w:proofErr w:type="spellEnd"/>
      <w:r w:rsidRPr="003B5FE2">
        <w:rPr>
          <w:rFonts w:ascii="Garamond" w:hAnsi="Garamond"/>
          <w:sz w:val="22"/>
          <w:szCs w:val="22"/>
        </w:rPr>
        <w:t>. Soc. 20 octobre 2009, n° 08-42155.</w:t>
      </w:r>
    </w:p>
  </w:footnote>
  <w:footnote w:id="32">
    <w:p w:rsidR="009730D4" w:rsidRPr="003B5FE2" w:rsidRDefault="009730D4">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Même pendant l’entretien </w:t>
      </w:r>
      <w:r w:rsidR="00CE7299" w:rsidRPr="003B5FE2">
        <w:rPr>
          <w:rFonts w:ascii="Garamond" w:hAnsi="Garamond"/>
          <w:sz w:val="22"/>
          <w:szCs w:val="22"/>
        </w:rPr>
        <w:t>préalable</w:t>
      </w:r>
      <w:r w:rsidRPr="003B5FE2">
        <w:rPr>
          <w:rFonts w:ascii="Garamond" w:hAnsi="Garamond"/>
          <w:sz w:val="22"/>
          <w:szCs w:val="22"/>
        </w:rPr>
        <w:t xml:space="preserve">, le lien de subordination persiste. </w:t>
      </w:r>
    </w:p>
  </w:footnote>
  <w:footnote w:id="33">
    <w:p w:rsidR="00B979BB" w:rsidRPr="003B5FE2" w:rsidRDefault="00B979BB">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CA Nancy, 12 décembre 2005 n°03-2770</w:t>
      </w:r>
    </w:p>
  </w:footnote>
  <w:footnote w:id="34">
    <w:p w:rsidR="00D323D0" w:rsidRPr="003B5FE2" w:rsidRDefault="00D323D0">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CA Poitiers, 4 mars 2008, n°06-1087, CA Paris, 12 sept. 2007, n</w:t>
      </w:r>
      <w:r w:rsidRPr="003B5FE2">
        <w:rPr>
          <w:rFonts w:ascii="Garamond" w:hAnsi="Garamond"/>
          <w:sz w:val="22"/>
          <w:szCs w:val="22"/>
          <w:vertAlign w:val="superscript"/>
        </w:rPr>
        <w:t>o</w:t>
      </w:r>
      <w:r w:rsidRPr="003B5FE2">
        <w:rPr>
          <w:rFonts w:ascii="Garamond" w:hAnsi="Garamond"/>
          <w:sz w:val="22"/>
          <w:szCs w:val="22"/>
        </w:rPr>
        <w:t> 06-1603</w:t>
      </w:r>
      <w:r w:rsidR="004D106D" w:rsidRPr="003B5FE2">
        <w:rPr>
          <w:rFonts w:ascii="Garamond" w:hAnsi="Garamond"/>
          <w:sz w:val="22"/>
          <w:szCs w:val="22"/>
        </w:rPr>
        <w:t xml:space="preserve">, </w:t>
      </w:r>
      <w:r w:rsidR="004D106D" w:rsidRPr="003B5FE2">
        <w:rPr>
          <w:rFonts w:ascii="Garamond" w:eastAsia="Times New Roman" w:hAnsi="Garamond" w:cs="Arial"/>
          <w:sz w:val="22"/>
          <w:szCs w:val="22"/>
          <w:lang w:eastAsia="fr-FR"/>
        </w:rPr>
        <w:t>CA Toulouse, 1</w:t>
      </w:r>
      <w:r w:rsidR="004D106D" w:rsidRPr="003B5FE2">
        <w:rPr>
          <w:rFonts w:ascii="Garamond" w:eastAsia="Times New Roman" w:hAnsi="Garamond" w:cs="Arial"/>
          <w:sz w:val="22"/>
          <w:szCs w:val="22"/>
          <w:vertAlign w:val="superscript"/>
          <w:lang w:eastAsia="fr-FR"/>
        </w:rPr>
        <w:t>er</w:t>
      </w:r>
      <w:r w:rsidR="004D106D" w:rsidRPr="003B5FE2">
        <w:rPr>
          <w:rFonts w:ascii="Garamond" w:eastAsia="Times New Roman" w:hAnsi="Garamond" w:cs="Arial"/>
          <w:sz w:val="22"/>
          <w:szCs w:val="22"/>
          <w:lang w:eastAsia="fr-FR"/>
        </w:rPr>
        <w:t xml:space="preserve"> octobre 1999, n°98-2306</w:t>
      </w:r>
      <w:r w:rsidR="000D13E9" w:rsidRPr="003B5FE2">
        <w:rPr>
          <w:rFonts w:ascii="Garamond" w:eastAsia="Times New Roman" w:hAnsi="Garamond" w:cs="Arial"/>
          <w:sz w:val="22"/>
          <w:szCs w:val="22"/>
          <w:lang w:eastAsia="fr-FR"/>
        </w:rPr>
        <w:t>, CA Grenoble, 10 mars 2003 n°00-3162.</w:t>
      </w:r>
    </w:p>
  </w:footnote>
  <w:footnote w:id="35">
    <w:p w:rsidR="003B5FE2" w:rsidRPr="003B5FE2" w:rsidRDefault="003B5FE2">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L’</w:t>
      </w:r>
      <w:proofErr w:type="spellStart"/>
      <w:r w:rsidRPr="003B5FE2">
        <w:rPr>
          <w:rFonts w:ascii="Garamond" w:hAnsi="Garamond"/>
          <w:sz w:val="22"/>
          <w:szCs w:val="22"/>
        </w:rPr>
        <w:t>uberisation</w:t>
      </w:r>
      <w:proofErr w:type="spellEnd"/>
      <w:r w:rsidRPr="003B5FE2">
        <w:rPr>
          <w:rFonts w:ascii="Garamond" w:hAnsi="Garamond"/>
          <w:sz w:val="22"/>
          <w:szCs w:val="22"/>
        </w:rPr>
        <w:t xml:space="preserve"> du monde de l’entreprise va peut être faire décoller le nombre d’employeurs sans locaux, et employant des salariés e</w:t>
      </w:r>
      <w:r w:rsidR="00931173">
        <w:rPr>
          <w:rFonts w:ascii="Garamond" w:hAnsi="Garamond"/>
          <w:sz w:val="22"/>
          <w:szCs w:val="22"/>
        </w:rPr>
        <w:t>n télétravail ou sur le terrain, en dehors de tout local professionnel.</w:t>
      </w:r>
    </w:p>
  </w:footnote>
  <w:footnote w:id="36">
    <w:p w:rsidR="00963EFA" w:rsidRPr="003B5FE2" w:rsidRDefault="00963EFA">
      <w:pPr>
        <w:pStyle w:val="Notedebasdepage"/>
        <w:rPr>
          <w:rFonts w:ascii="Garamond" w:hAnsi="Garamond"/>
          <w:sz w:val="22"/>
          <w:szCs w:val="22"/>
        </w:rPr>
      </w:pPr>
      <w:r w:rsidRPr="003B5FE2">
        <w:rPr>
          <w:rStyle w:val="Appelnotedebasdep"/>
          <w:rFonts w:ascii="Garamond" w:hAnsi="Garamond"/>
          <w:sz w:val="22"/>
          <w:szCs w:val="22"/>
        </w:rPr>
        <w:footnoteRef/>
      </w:r>
      <w:r w:rsidRPr="003B5FE2">
        <w:rPr>
          <w:rFonts w:ascii="Garamond" w:hAnsi="Garamond"/>
          <w:sz w:val="22"/>
          <w:szCs w:val="22"/>
        </w:rPr>
        <w:t xml:space="preserve"> Les bureaux peuvent être loués à la journée, la demi-journée, ou à l’heure. </w:t>
      </w:r>
    </w:p>
  </w:footnote>
  <w:footnote w:id="37">
    <w:p w:rsidR="00245FCF" w:rsidRPr="00420380" w:rsidRDefault="00245FCF">
      <w:pPr>
        <w:pStyle w:val="Notedebasdepage"/>
        <w:rPr>
          <w:rFonts w:ascii="Garamond" w:hAnsi="Garamond"/>
          <w:sz w:val="22"/>
          <w:szCs w:val="22"/>
        </w:rPr>
      </w:pPr>
      <w:r w:rsidRPr="00420380">
        <w:rPr>
          <w:rStyle w:val="Appelnotedebasdep"/>
          <w:rFonts w:ascii="Garamond" w:hAnsi="Garamond"/>
          <w:sz w:val="22"/>
          <w:szCs w:val="22"/>
        </w:rPr>
        <w:footnoteRef/>
      </w:r>
      <w:r w:rsidRPr="00420380">
        <w:rPr>
          <w:rFonts w:ascii="Garamond" w:hAnsi="Garamond"/>
          <w:sz w:val="22"/>
          <w:szCs w:val="22"/>
        </w:rPr>
        <w:t xml:space="preserve"> CA Versailles, 11e ch., 17 oct. 1994</w:t>
      </w:r>
    </w:p>
  </w:footnote>
  <w:footnote w:id="38">
    <w:p w:rsidR="00FA354C" w:rsidRPr="00420380" w:rsidRDefault="00FA354C">
      <w:pPr>
        <w:pStyle w:val="Notedebasdepage"/>
        <w:rPr>
          <w:rFonts w:ascii="Garamond" w:hAnsi="Garamond"/>
          <w:sz w:val="22"/>
          <w:szCs w:val="22"/>
        </w:rPr>
      </w:pPr>
      <w:r w:rsidRPr="00420380">
        <w:rPr>
          <w:rStyle w:val="Appelnotedebasdep"/>
          <w:rFonts w:ascii="Garamond" w:hAnsi="Garamond"/>
          <w:sz w:val="22"/>
          <w:szCs w:val="22"/>
        </w:rPr>
        <w:footnoteRef/>
      </w:r>
      <w:r w:rsidRPr="00420380">
        <w:rPr>
          <w:rFonts w:ascii="Garamond" w:hAnsi="Garamond"/>
          <w:sz w:val="22"/>
          <w:szCs w:val="22"/>
        </w:rPr>
        <w:t xml:space="preserve"> En l’occurrence la FEPEM.</w:t>
      </w:r>
    </w:p>
  </w:footnote>
  <w:footnote w:id="39">
    <w:p w:rsidR="00420380" w:rsidRDefault="00420380">
      <w:pPr>
        <w:pStyle w:val="Notedebasdepage"/>
      </w:pPr>
      <w:r w:rsidRPr="00420380">
        <w:rPr>
          <w:rStyle w:val="Appelnotedebasdep"/>
          <w:rFonts w:ascii="Garamond" w:hAnsi="Garamond"/>
          <w:sz w:val="22"/>
          <w:szCs w:val="22"/>
        </w:rPr>
        <w:footnoteRef/>
      </w:r>
      <w:r w:rsidRPr="00420380">
        <w:rPr>
          <w:rFonts w:ascii="Garamond" w:hAnsi="Garamond"/>
          <w:sz w:val="22"/>
          <w:szCs w:val="22"/>
        </w:rPr>
        <w:t xml:space="preserve"> En revanche, La Poste utilise ses locaux pour organiser des sessions de permis de conduire : http://legroupe.laposte.fr/actualite/code-de-la-route-la-poste-accueille-les-candidats-a-l-examen</w:t>
      </w:r>
    </w:p>
  </w:footnote>
  <w:footnote w:id="40">
    <w:p w:rsidR="00342882" w:rsidRDefault="00342882">
      <w:pPr>
        <w:pStyle w:val="Notedebasdepage"/>
      </w:pPr>
      <w:r w:rsidRPr="00385D91">
        <w:rPr>
          <w:rStyle w:val="Appelnotedebasdep"/>
          <w:rFonts w:ascii="Garamond" w:hAnsi="Garamond"/>
          <w:sz w:val="22"/>
          <w:szCs w:val="22"/>
        </w:rPr>
        <w:footnoteRef/>
      </w:r>
      <w:r w:rsidRPr="00385D91">
        <w:rPr>
          <w:rFonts w:ascii="Garamond" w:hAnsi="Garamond"/>
          <w:sz w:val="22"/>
          <w:szCs w:val="22"/>
        </w:rPr>
        <w:t xml:space="preserve"> Si la liste des conseillers est signée par le Préfet, la liste des conseillers a été préalablement dressée par la DIRECCTE, qui, une fois la décision entérinée, fait parvenir aux conseillers leur carte qui leur permettra </w:t>
      </w:r>
      <w:r w:rsidR="00385D91" w:rsidRPr="00385D91">
        <w:rPr>
          <w:rFonts w:ascii="Garamond" w:hAnsi="Garamond"/>
          <w:sz w:val="22"/>
          <w:szCs w:val="22"/>
        </w:rPr>
        <w:t>de prouver leur qualité à l’employeur.</w:t>
      </w:r>
      <w:r w:rsidR="00385D91">
        <w:t xml:space="preserve"> </w:t>
      </w:r>
    </w:p>
  </w:footnote>
  <w:footnote w:id="41">
    <w:p w:rsidR="00F10C2B" w:rsidRPr="007C469B" w:rsidRDefault="00F10C2B">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proofErr w:type="spellStart"/>
      <w:r w:rsidRPr="007C469B">
        <w:rPr>
          <w:rFonts w:ascii="Garamond" w:hAnsi="Garamond"/>
          <w:sz w:val="22"/>
          <w:szCs w:val="22"/>
        </w:rPr>
        <w:t>Cass</w:t>
      </w:r>
      <w:proofErr w:type="spellEnd"/>
      <w:r w:rsidRPr="007C469B">
        <w:rPr>
          <w:rFonts w:ascii="Garamond" w:hAnsi="Garamond"/>
          <w:sz w:val="22"/>
          <w:szCs w:val="22"/>
        </w:rPr>
        <w:t>. Soc. n°99-40254</w:t>
      </w:r>
    </w:p>
  </w:footnote>
  <w:footnote w:id="42">
    <w:p w:rsidR="00332578" w:rsidRPr="007C469B" w:rsidRDefault="00332578">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proofErr w:type="spellStart"/>
      <w:r w:rsidR="005E2B97" w:rsidRPr="009D6432">
        <w:rPr>
          <w:rFonts w:ascii="Garamond" w:eastAsia="Times New Roman" w:hAnsi="Garamond" w:cs="Times New Roman"/>
          <w:sz w:val="22"/>
          <w:szCs w:val="22"/>
          <w:lang w:eastAsia="fr-FR"/>
        </w:rPr>
        <w:t>Cass</w:t>
      </w:r>
      <w:proofErr w:type="spellEnd"/>
      <w:r w:rsidR="005E2B97" w:rsidRPr="009D6432">
        <w:rPr>
          <w:rFonts w:ascii="Garamond" w:eastAsia="Times New Roman" w:hAnsi="Garamond" w:cs="Times New Roman"/>
          <w:sz w:val="22"/>
          <w:szCs w:val="22"/>
          <w:lang w:eastAsia="fr-FR"/>
        </w:rPr>
        <w:t xml:space="preserve">. </w:t>
      </w:r>
      <w:proofErr w:type="gramStart"/>
      <w:r w:rsidR="005E2B97" w:rsidRPr="009D6432">
        <w:rPr>
          <w:rFonts w:ascii="Garamond" w:eastAsia="Times New Roman" w:hAnsi="Garamond" w:cs="Times New Roman"/>
          <w:sz w:val="22"/>
          <w:szCs w:val="22"/>
          <w:lang w:eastAsia="fr-FR"/>
        </w:rPr>
        <w:t>soc.,</w:t>
      </w:r>
      <w:proofErr w:type="gramEnd"/>
      <w:r w:rsidR="005E2B97" w:rsidRPr="009D6432">
        <w:rPr>
          <w:rFonts w:ascii="Garamond" w:eastAsia="Times New Roman" w:hAnsi="Garamond" w:cs="Times New Roman"/>
          <w:sz w:val="22"/>
          <w:szCs w:val="22"/>
          <w:lang w:eastAsia="fr-FR"/>
        </w:rPr>
        <w:t xml:space="preserve"> 9 </w:t>
      </w:r>
      <w:proofErr w:type="spellStart"/>
      <w:r w:rsidR="005E2B97" w:rsidRPr="009D6432">
        <w:rPr>
          <w:rFonts w:ascii="Garamond" w:eastAsia="Times New Roman" w:hAnsi="Garamond" w:cs="Times New Roman"/>
          <w:sz w:val="22"/>
          <w:szCs w:val="22"/>
          <w:lang w:eastAsia="fr-FR"/>
        </w:rPr>
        <w:t>avr</w:t>
      </w:r>
      <w:proofErr w:type="spellEnd"/>
      <w:r w:rsidR="005E2B97" w:rsidRPr="009D6432">
        <w:rPr>
          <w:rFonts w:ascii="Garamond" w:eastAsia="Times New Roman" w:hAnsi="Garamond" w:cs="Times New Roman"/>
          <w:sz w:val="22"/>
          <w:szCs w:val="22"/>
          <w:lang w:eastAsia="fr-FR"/>
        </w:rPr>
        <w:t>. 1992</w:t>
      </w:r>
    </w:p>
  </w:footnote>
  <w:footnote w:id="43">
    <w:p w:rsidR="00BB7721" w:rsidRPr="007C469B" w:rsidRDefault="00BB7721">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r w:rsidRPr="009D6432">
        <w:rPr>
          <w:rFonts w:ascii="Garamond" w:eastAsia="Times New Roman" w:hAnsi="Garamond" w:cs="Times New Roman"/>
          <w:sz w:val="22"/>
          <w:szCs w:val="22"/>
          <w:lang w:eastAsia="fr-FR"/>
        </w:rPr>
        <w:t>Cour d’appel</w:t>
      </w:r>
      <w:r w:rsidRPr="007C469B">
        <w:rPr>
          <w:rFonts w:ascii="Garamond" w:eastAsia="Times New Roman" w:hAnsi="Garamond" w:cs="Times New Roman"/>
          <w:sz w:val="22"/>
          <w:szCs w:val="22"/>
          <w:lang w:eastAsia="fr-FR"/>
        </w:rPr>
        <w:t> Orléans</w:t>
      </w:r>
      <w:r w:rsidRPr="009D6432">
        <w:rPr>
          <w:rFonts w:ascii="Garamond" w:eastAsia="Times New Roman" w:hAnsi="Garamond" w:cs="Times New Roman"/>
          <w:sz w:val="22"/>
          <w:szCs w:val="22"/>
          <w:lang w:eastAsia="fr-FR"/>
        </w:rPr>
        <w:t>, 18 janv. 1990</w:t>
      </w:r>
    </w:p>
  </w:footnote>
  <w:footnote w:id="44">
    <w:p w:rsidR="00BB7721" w:rsidRPr="007C469B" w:rsidRDefault="00BB7721">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r w:rsidRPr="009D6432">
        <w:rPr>
          <w:rFonts w:ascii="Garamond" w:eastAsia="Times New Roman" w:hAnsi="Garamond" w:cs="Times New Roman"/>
          <w:sz w:val="22"/>
          <w:szCs w:val="22"/>
          <w:lang w:eastAsia="fr-FR"/>
        </w:rPr>
        <w:t>Cour d’appel</w:t>
      </w:r>
      <w:r w:rsidRPr="007C469B">
        <w:rPr>
          <w:rFonts w:ascii="Garamond" w:eastAsia="Times New Roman" w:hAnsi="Garamond" w:cs="Times New Roman"/>
          <w:sz w:val="22"/>
          <w:szCs w:val="22"/>
          <w:lang w:eastAsia="fr-FR"/>
        </w:rPr>
        <w:t> Dijon</w:t>
      </w:r>
      <w:r w:rsidRPr="009D6432">
        <w:rPr>
          <w:rFonts w:ascii="Garamond" w:eastAsia="Times New Roman" w:hAnsi="Garamond" w:cs="Times New Roman"/>
          <w:sz w:val="22"/>
          <w:szCs w:val="22"/>
          <w:lang w:eastAsia="fr-FR"/>
        </w:rPr>
        <w:t>, 24 sept. 1996</w:t>
      </w:r>
    </w:p>
  </w:footnote>
  <w:footnote w:id="45">
    <w:p w:rsidR="00BB7721" w:rsidRPr="007C469B" w:rsidRDefault="00BB7721">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r w:rsidRPr="009D6432">
        <w:rPr>
          <w:rFonts w:ascii="Garamond" w:eastAsia="Times New Roman" w:hAnsi="Garamond" w:cs="Times New Roman"/>
          <w:sz w:val="22"/>
          <w:szCs w:val="22"/>
          <w:lang w:eastAsia="fr-FR"/>
        </w:rPr>
        <w:t>Cour d’appel</w:t>
      </w:r>
      <w:r w:rsidRPr="007C469B">
        <w:rPr>
          <w:rFonts w:ascii="Garamond" w:eastAsia="Times New Roman" w:hAnsi="Garamond" w:cs="Times New Roman"/>
          <w:sz w:val="22"/>
          <w:szCs w:val="22"/>
          <w:lang w:eastAsia="fr-FR"/>
        </w:rPr>
        <w:t> Dijon</w:t>
      </w:r>
      <w:r w:rsidRPr="009D6432">
        <w:rPr>
          <w:rFonts w:ascii="Garamond" w:eastAsia="Times New Roman" w:hAnsi="Garamond" w:cs="Times New Roman"/>
          <w:sz w:val="22"/>
          <w:szCs w:val="22"/>
          <w:lang w:eastAsia="fr-FR"/>
        </w:rPr>
        <w:t>, 16 nov. 1999</w:t>
      </w:r>
    </w:p>
  </w:footnote>
  <w:footnote w:id="46">
    <w:p w:rsidR="00BB7721" w:rsidRPr="007C469B" w:rsidRDefault="00BB7721">
      <w:pPr>
        <w:pStyle w:val="Notedebasdepage"/>
        <w:rPr>
          <w:rFonts w:ascii="Garamond" w:hAnsi="Garamond"/>
          <w:sz w:val="22"/>
          <w:szCs w:val="22"/>
        </w:rPr>
      </w:pPr>
      <w:r w:rsidRPr="007C469B">
        <w:rPr>
          <w:rStyle w:val="Appelnotedebasdep"/>
          <w:rFonts w:ascii="Garamond" w:hAnsi="Garamond"/>
          <w:sz w:val="22"/>
          <w:szCs w:val="22"/>
        </w:rPr>
        <w:footnoteRef/>
      </w:r>
      <w:r w:rsidRPr="007C469B">
        <w:rPr>
          <w:rFonts w:ascii="Garamond" w:hAnsi="Garamond"/>
          <w:sz w:val="22"/>
          <w:szCs w:val="22"/>
        </w:rPr>
        <w:t xml:space="preserve"> </w:t>
      </w:r>
      <w:r w:rsidRPr="009D6432">
        <w:rPr>
          <w:rFonts w:ascii="Garamond" w:eastAsia="Times New Roman" w:hAnsi="Garamond" w:cs="Times New Roman"/>
          <w:sz w:val="22"/>
          <w:szCs w:val="22"/>
          <w:lang w:eastAsia="fr-FR"/>
        </w:rPr>
        <w:t xml:space="preserve">Cour </w:t>
      </w:r>
      <w:r w:rsidRPr="007C469B">
        <w:rPr>
          <w:rFonts w:ascii="Garamond" w:eastAsia="Times New Roman" w:hAnsi="Garamond" w:cs="Times New Roman"/>
          <w:sz w:val="22"/>
          <w:szCs w:val="22"/>
          <w:lang w:eastAsia="fr-FR"/>
        </w:rPr>
        <w:t>d’appel</w:t>
      </w:r>
      <w:r w:rsidR="00D5432E">
        <w:rPr>
          <w:rFonts w:ascii="Garamond" w:eastAsia="Times New Roman" w:hAnsi="Garamond" w:cs="Times New Roman"/>
          <w:sz w:val="22"/>
          <w:szCs w:val="22"/>
          <w:lang w:eastAsia="fr-FR"/>
        </w:rPr>
        <w:t xml:space="preserve"> de Nancy</w:t>
      </w:r>
      <w:r w:rsidRPr="007C469B">
        <w:rPr>
          <w:rFonts w:ascii="Garamond" w:eastAsia="Times New Roman" w:hAnsi="Garamond" w:cs="Times New Roman"/>
          <w:sz w:val="22"/>
          <w:szCs w:val="22"/>
          <w:lang w:eastAsia="fr-FR"/>
        </w:rPr>
        <w:t>,</w:t>
      </w:r>
      <w:r w:rsidRPr="009D6432">
        <w:rPr>
          <w:rFonts w:ascii="Garamond" w:eastAsia="Times New Roman" w:hAnsi="Garamond" w:cs="Times New Roman"/>
          <w:sz w:val="22"/>
          <w:szCs w:val="22"/>
          <w:lang w:eastAsia="fr-FR"/>
        </w:rPr>
        <w:t xml:space="preserve"> 22 sept. </w:t>
      </w:r>
      <w:r w:rsidRPr="009D6432">
        <w:rPr>
          <w:rFonts w:ascii="Garamond" w:eastAsia="Times New Roman" w:hAnsi="Garamond" w:cs="Times New Roman"/>
          <w:sz w:val="22"/>
          <w:szCs w:val="22"/>
          <w:lang w:eastAsia="fr-FR"/>
        </w:rPr>
        <w:t>1999</w:t>
      </w:r>
      <w:r w:rsidR="00D5432E">
        <w:rPr>
          <w:rFonts w:ascii="Garamond" w:eastAsia="Times New Roman" w:hAnsi="Garamond" w:cs="Times New Roman"/>
          <w:sz w:val="22"/>
          <w:szCs w:val="22"/>
          <w:lang w:eastAsia="fr-FR"/>
        </w:rPr>
        <w:t xml:space="preserve">, </w:t>
      </w:r>
      <w:r w:rsidR="00D5432E" w:rsidRPr="00D5432E">
        <w:rPr>
          <w:rFonts w:ascii="Garamond" w:eastAsia="Times New Roman" w:hAnsi="Garamond" w:cs="Times New Roman"/>
          <w:sz w:val="22"/>
          <w:szCs w:val="22"/>
          <w:lang w:eastAsia="fr-FR"/>
        </w:rPr>
        <w:t xml:space="preserve">n° </w:t>
      </w:r>
      <w:r w:rsidR="00D5432E" w:rsidRPr="00D5432E">
        <w:rPr>
          <w:rFonts w:ascii="Garamond" w:eastAsia="Times New Roman" w:hAnsi="Garamond" w:cs="Times New Roman"/>
          <w:sz w:val="22"/>
          <w:szCs w:val="22"/>
          <w:lang w:eastAsia="fr-FR"/>
        </w:rPr>
        <w:t>97-3489</w:t>
      </w:r>
    </w:p>
  </w:footnote>
  <w:footnote w:id="47">
    <w:p w:rsidR="00C61628" w:rsidRPr="002D7BEE" w:rsidRDefault="00C61628" w:rsidP="00C61628">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La France est signataire de la Convention de sauvegarde des droits de l'Homme et des libertés fondamentales.</w:t>
      </w:r>
    </w:p>
  </w:footnote>
  <w:footnote w:id="48">
    <w:p w:rsidR="00C61628" w:rsidRPr="002D7BEE" w:rsidRDefault="00C61628" w:rsidP="00C61628">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Le traité de Lisbonne a été ratifié par le Parlement le 8 février 2008.</w:t>
      </w:r>
    </w:p>
  </w:footnote>
  <w:footnote w:id="49">
    <w:p w:rsidR="007C469B" w:rsidRPr="002D7BEE" w:rsidRDefault="007C469B">
      <w:pPr>
        <w:pStyle w:val="Notedebasdepage"/>
        <w:rPr>
          <w:rFonts w:ascii="Garamond" w:hAnsi="Garamond"/>
          <w:sz w:val="22"/>
          <w:szCs w:val="22"/>
        </w:rPr>
      </w:pPr>
      <w:r w:rsidRPr="002D7BEE">
        <w:rPr>
          <w:rStyle w:val="Appelnotedebasdep"/>
          <w:rFonts w:ascii="Garamond" w:hAnsi="Garamond"/>
          <w:sz w:val="22"/>
          <w:szCs w:val="22"/>
        </w:rPr>
        <w:footnoteRef/>
      </w:r>
      <w:r w:rsidRPr="002D7BEE">
        <w:rPr>
          <w:rFonts w:ascii="Garamond" w:hAnsi="Garamond"/>
          <w:sz w:val="22"/>
          <w:szCs w:val="22"/>
        </w:rPr>
        <w:t xml:space="preserve"> La CGT s’est d’ailleurs déjà prononcée pour l’assistance des employés de maison (Les conseillers du salarié, Etat des lieux en 2014, Rémy Poulain, page 19)</w:t>
      </w:r>
    </w:p>
  </w:footnote>
  <w:footnote w:id="50">
    <w:p w:rsidR="00C61628" w:rsidRDefault="00C61628" w:rsidP="00C61628">
      <w:pPr>
        <w:pStyle w:val="Notedebasdepage"/>
      </w:pPr>
      <w:r w:rsidRPr="002D7BEE">
        <w:rPr>
          <w:rStyle w:val="Appelnotedebasdep"/>
          <w:rFonts w:ascii="Garamond" w:hAnsi="Garamond"/>
          <w:sz w:val="22"/>
          <w:szCs w:val="22"/>
        </w:rPr>
        <w:footnoteRef/>
      </w:r>
      <w:r w:rsidRPr="002D7BEE">
        <w:rPr>
          <w:rFonts w:ascii="Garamond" w:hAnsi="Garamond"/>
          <w:sz w:val="22"/>
          <w:szCs w:val="22"/>
        </w:rPr>
        <w:t xml:space="preserve"> Article L. 2131-1 du Code du travail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2CAD"/>
    <w:multiLevelType w:val="hybridMultilevel"/>
    <w:tmpl w:val="76481C0E"/>
    <w:lvl w:ilvl="0" w:tplc="C09E21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1C0AB2"/>
    <w:multiLevelType w:val="hybridMultilevel"/>
    <w:tmpl w:val="EA1CCD80"/>
    <w:lvl w:ilvl="0" w:tplc="6140635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E3177D"/>
    <w:multiLevelType w:val="hybridMultilevel"/>
    <w:tmpl w:val="EA1CCD80"/>
    <w:lvl w:ilvl="0" w:tplc="6140635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A91CBB"/>
    <w:multiLevelType w:val="hybridMultilevel"/>
    <w:tmpl w:val="0FA20052"/>
    <w:lvl w:ilvl="0" w:tplc="85AEF17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46CE"/>
    <w:rsid w:val="00006D9D"/>
    <w:rsid w:val="000246CE"/>
    <w:rsid w:val="00025DEE"/>
    <w:rsid w:val="00062B79"/>
    <w:rsid w:val="0006345D"/>
    <w:rsid w:val="00065DA7"/>
    <w:rsid w:val="00095531"/>
    <w:rsid w:val="000A57FF"/>
    <w:rsid w:val="000B5832"/>
    <w:rsid w:val="000D13E9"/>
    <w:rsid w:val="000F4EA5"/>
    <w:rsid w:val="000F6B15"/>
    <w:rsid w:val="00112A6E"/>
    <w:rsid w:val="001206DE"/>
    <w:rsid w:val="00150243"/>
    <w:rsid w:val="001C34EB"/>
    <w:rsid w:val="001C42E3"/>
    <w:rsid w:val="001C67E4"/>
    <w:rsid w:val="001E3EE8"/>
    <w:rsid w:val="0020631C"/>
    <w:rsid w:val="00220ED4"/>
    <w:rsid w:val="00245FCF"/>
    <w:rsid w:val="0026112F"/>
    <w:rsid w:val="00261C50"/>
    <w:rsid w:val="00266F60"/>
    <w:rsid w:val="00267A5D"/>
    <w:rsid w:val="002937B4"/>
    <w:rsid w:val="002A7CB4"/>
    <w:rsid w:val="002B2B9D"/>
    <w:rsid w:val="002C282E"/>
    <w:rsid w:val="002C41F5"/>
    <w:rsid w:val="002D6A6A"/>
    <w:rsid w:val="002D7BEE"/>
    <w:rsid w:val="002E2084"/>
    <w:rsid w:val="002F4818"/>
    <w:rsid w:val="0030262A"/>
    <w:rsid w:val="00305406"/>
    <w:rsid w:val="00323A9B"/>
    <w:rsid w:val="003244FF"/>
    <w:rsid w:val="00332578"/>
    <w:rsid w:val="00332703"/>
    <w:rsid w:val="00336822"/>
    <w:rsid w:val="00340C6F"/>
    <w:rsid w:val="00342882"/>
    <w:rsid w:val="00355008"/>
    <w:rsid w:val="00385D91"/>
    <w:rsid w:val="003A5C2A"/>
    <w:rsid w:val="003B5F4A"/>
    <w:rsid w:val="003B5FE2"/>
    <w:rsid w:val="003C21CF"/>
    <w:rsid w:val="003D2D06"/>
    <w:rsid w:val="00400661"/>
    <w:rsid w:val="00417468"/>
    <w:rsid w:val="00420380"/>
    <w:rsid w:val="0042291F"/>
    <w:rsid w:val="00423CEE"/>
    <w:rsid w:val="004322CA"/>
    <w:rsid w:val="00432800"/>
    <w:rsid w:val="00435DBF"/>
    <w:rsid w:val="00464EEF"/>
    <w:rsid w:val="00493505"/>
    <w:rsid w:val="00496334"/>
    <w:rsid w:val="004A64AB"/>
    <w:rsid w:val="004B2106"/>
    <w:rsid w:val="004C75BC"/>
    <w:rsid w:val="004D106D"/>
    <w:rsid w:val="004F6962"/>
    <w:rsid w:val="00511D25"/>
    <w:rsid w:val="00542DBF"/>
    <w:rsid w:val="00551F0C"/>
    <w:rsid w:val="0055502A"/>
    <w:rsid w:val="00566DB6"/>
    <w:rsid w:val="005760E5"/>
    <w:rsid w:val="005869A6"/>
    <w:rsid w:val="005A3A87"/>
    <w:rsid w:val="005C26FB"/>
    <w:rsid w:val="005C29F4"/>
    <w:rsid w:val="005C2DB6"/>
    <w:rsid w:val="005C34AF"/>
    <w:rsid w:val="005D4FCB"/>
    <w:rsid w:val="005E2B97"/>
    <w:rsid w:val="005E5314"/>
    <w:rsid w:val="0060782C"/>
    <w:rsid w:val="00612A68"/>
    <w:rsid w:val="00615F2E"/>
    <w:rsid w:val="00617CFF"/>
    <w:rsid w:val="0063312F"/>
    <w:rsid w:val="00633959"/>
    <w:rsid w:val="00650B7A"/>
    <w:rsid w:val="006510B9"/>
    <w:rsid w:val="0066584A"/>
    <w:rsid w:val="00685AFF"/>
    <w:rsid w:val="00686B08"/>
    <w:rsid w:val="006908BD"/>
    <w:rsid w:val="006936FD"/>
    <w:rsid w:val="006A3508"/>
    <w:rsid w:val="006B57D5"/>
    <w:rsid w:val="006C1396"/>
    <w:rsid w:val="006C3ADD"/>
    <w:rsid w:val="006D235D"/>
    <w:rsid w:val="006E082F"/>
    <w:rsid w:val="00744546"/>
    <w:rsid w:val="007750CB"/>
    <w:rsid w:val="0077734B"/>
    <w:rsid w:val="007A74EB"/>
    <w:rsid w:val="007C458E"/>
    <w:rsid w:val="007C469B"/>
    <w:rsid w:val="007C67C3"/>
    <w:rsid w:val="007E0527"/>
    <w:rsid w:val="007F365C"/>
    <w:rsid w:val="008005A1"/>
    <w:rsid w:val="00800709"/>
    <w:rsid w:val="00814649"/>
    <w:rsid w:val="00833F1F"/>
    <w:rsid w:val="00867D70"/>
    <w:rsid w:val="008757A7"/>
    <w:rsid w:val="008D2F01"/>
    <w:rsid w:val="008D3921"/>
    <w:rsid w:val="008F6649"/>
    <w:rsid w:val="00911D7C"/>
    <w:rsid w:val="00931173"/>
    <w:rsid w:val="009402EC"/>
    <w:rsid w:val="00940C14"/>
    <w:rsid w:val="00945D22"/>
    <w:rsid w:val="009532D2"/>
    <w:rsid w:val="00956013"/>
    <w:rsid w:val="00962794"/>
    <w:rsid w:val="00963EFA"/>
    <w:rsid w:val="009730D4"/>
    <w:rsid w:val="009828ED"/>
    <w:rsid w:val="009C4478"/>
    <w:rsid w:val="009C4F00"/>
    <w:rsid w:val="009D6851"/>
    <w:rsid w:val="009E4597"/>
    <w:rsid w:val="009E6182"/>
    <w:rsid w:val="009E6661"/>
    <w:rsid w:val="009E6D1D"/>
    <w:rsid w:val="00A01255"/>
    <w:rsid w:val="00A03FC9"/>
    <w:rsid w:val="00A17B03"/>
    <w:rsid w:val="00A20365"/>
    <w:rsid w:val="00A23CCC"/>
    <w:rsid w:val="00A25CAC"/>
    <w:rsid w:val="00A5173F"/>
    <w:rsid w:val="00A55A54"/>
    <w:rsid w:val="00A62A72"/>
    <w:rsid w:val="00A84C13"/>
    <w:rsid w:val="00A93E48"/>
    <w:rsid w:val="00A962A3"/>
    <w:rsid w:val="00AA4799"/>
    <w:rsid w:val="00AC1EB7"/>
    <w:rsid w:val="00AE7DC9"/>
    <w:rsid w:val="00B0786A"/>
    <w:rsid w:val="00B13AC4"/>
    <w:rsid w:val="00B25280"/>
    <w:rsid w:val="00B31664"/>
    <w:rsid w:val="00B379C4"/>
    <w:rsid w:val="00B52B0B"/>
    <w:rsid w:val="00B53C8F"/>
    <w:rsid w:val="00B55083"/>
    <w:rsid w:val="00B6020A"/>
    <w:rsid w:val="00B62CFF"/>
    <w:rsid w:val="00B63983"/>
    <w:rsid w:val="00B70034"/>
    <w:rsid w:val="00B718E5"/>
    <w:rsid w:val="00B77CF0"/>
    <w:rsid w:val="00B827B5"/>
    <w:rsid w:val="00B834B5"/>
    <w:rsid w:val="00B92980"/>
    <w:rsid w:val="00B948AE"/>
    <w:rsid w:val="00B979BB"/>
    <w:rsid w:val="00BA0BF0"/>
    <w:rsid w:val="00BA3236"/>
    <w:rsid w:val="00BB1B90"/>
    <w:rsid w:val="00BB7721"/>
    <w:rsid w:val="00BD03D5"/>
    <w:rsid w:val="00C02E4A"/>
    <w:rsid w:val="00C22A03"/>
    <w:rsid w:val="00C2479D"/>
    <w:rsid w:val="00C318DB"/>
    <w:rsid w:val="00C54159"/>
    <w:rsid w:val="00C548EB"/>
    <w:rsid w:val="00C61628"/>
    <w:rsid w:val="00C855A2"/>
    <w:rsid w:val="00C9295F"/>
    <w:rsid w:val="00CA0A05"/>
    <w:rsid w:val="00CC6A2E"/>
    <w:rsid w:val="00CD4924"/>
    <w:rsid w:val="00CE34F5"/>
    <w:rsid w:val="00CE64D8"/>
    <w:rsid w:val="00CE7299"/>
    <w:rsid w:val="00CE75EB"/>
    <w:rsid w:val="00CF20EC"/>
    <w:rsid w:val="00D101F1"/>
    <w:rsid w:val="00D2379E"/>
    <w:rsid w:val="00D323D0"/>
    <w:rsid w:val="00D40A26"/>
    <w:rsid w:val="00D41CC0"/>
    <w:rsid w:val="00D463CF"/>
    <w:rsid w:val="00D50816"/>
    <w:rsid w:val="00D53E26"/>
    <w:rsid w:val="00D5432E"/>
    <w:rsid w:val="00D77EB2"/>
    <w:rsid w:val="00D950D6"/>
    <w:rsid w:val="00DA478E"/>
    <w:rsid w:val="00DA6EAF"/>
    <w:rsid w:val="00DB5F30"/>
    <w:rsid w:val="00DC4733"/>
    <w:rsid w:val="00DE0F2B"/>
    <w:rsid w:val="00DE0FB8"/>
    <w:rsid w:val="00DE23AE"/>
    <w:rsid w:val="00E0470F"/>
    <w:rsid w:val="00E06FB7"/>
    <w:rsid w:val="00E168EA"/>
    <w:rsid w:val="00E16DF0"/>
    <w:rsid w:val="00E20161"/>
    <w:rsid w:val="00E22A64"/>
    <w:rsid w:val="00E26924"/>
    <w:rsid w:val="00E323BA"/>
    <w:rsid w:val="00E325B6"/>
    <w:rsid w:val="00E50084"/>
    <w:rsid w:val="00E7178A"/>
    <w:rsid w:val="00E80FD0"/>
    <w:rsid w:val="00E829B3"/>
    <w:rsid w:val="00E97EA0"/>
    <w:rsid w:val="00EB737E"/>
    <w:rsid w:val="00ED6603"/>
    <w:rsid w:val="00F045F4"/>
    <w:rsid w:val="00F07586"/>
    <w:rsid w:val="00F1099A"/>
    <w:rsid w:val="00F10C2B"/>
    <w:rsid w:val="00F115CC"/>
    <w:rsid w:val="00F24C3C"/>
    <w:rsid w:val="00F24F34"/>
    <w:rsid w:val="00F436CD"/>
    <w:rsid w:val="00F4535A"/>
    <w:rsid w:val="00F5233D"/>
    <w:rsid w:val="00F55099"/>
    <w:rsid w:val="00F632D9"/>
    <w:rsid w:val="00F74759"/>
    <w:rsid w:val="00FA354C"/>
    <w:rsid w:val="00FB45A7"/>
    <w:rsid w:val="00FC36A8"/>
    <w:rsid w:val="00FC6456"/>
    <w:rsid w:val="00FD1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6CE"/>
    <w:pPr>
      <w:ind w:left="720"/>
      <w:contextualSpacing/>
    </w:pPr>
  </w:style>
  <w:style w:type="paragraph" w:styleId="Notedebasdepage">
    <w:name w:val="footnote text"/>
    <w:basedOn w:val="Normal"/>
    <w:link w:val="NotedebasdepageCar"/>
    <w:uiPriority w:val="99"/>
    <w:unhideWhenUsed/>
    <w:rsid w:val="00496334"/>
    <w:pPr>
      <w:spacing w:after="0" w:line="240" w:lineRule="auto"/>
    </w:pPr>
    <w:rPr>
      <w:sz w:val="20"/>
      <w:szCs w:val="20"/>
    </w:rPr>
  </w:style>
  <w:style w:type="character" w:customStyle="1" w:styleId="NotedebasdepageCar">
    <w:name w:val="Note de bas de page Car"/>
    <w:basedOn w:val="Policepardfaut"/>
    <w:link w:val="Notedebasdepage"/>
    <w:uiPriority w:val="99"/>
    <w:rsid w:val="00496334"/>
    <w:rPr>
      <w:sz w:val="20"/>
      <w:szCs w:val="20"/>
    </w:rPr>
  </w:style>
  <w:style w:type="character" w:styleId="Appelnotedebasdep">
    <w:name w:val="footnote reference"/>
    <w:basedOn w:val="Policepardfaut"/>
    <w:uiPriority w:val="99"/>
    <w:semiHidden/>
    <w:unhideWhenUsed/>
    <w:rsid w:val="00496334"/>
    <w:rPr>
      <w:vertAlign w:val="superscript"/>
    </w:rPr>
  </w:style>
  <w:style w:type="character" w:styleId="lev">
    <w:name w:val="Strong"/>
    <w:basedOn w:val="Policepardfaut"/>
    <w:uiPriority w:val="22"/>
    <w:qFormat/>
    <w:rsid w:val="00A93E48"/>
    <w:rPr>
      <w:b/>
      <w:bCs/>
    </w:rPr>
  </w:style>
  <w:style w:type="paragraph" w:styleId="Notedefin">
    <w:name w:val="endnote text"/>
    <w:basedOn w:val="Normal"/>
    <w:link w:val="NotedefinCar"/>
    <w:uiPriority w:val="99"/>
    <w:semiHidden/>
    <w:unhideWhenUsed/>
    <w:rsid w:val="00E829B3"/>
    <w:pPr>
      <w:spacing w:after="0" w:line="240" w:lineRule="auto"/>
    </w:pPr>
    <w:rPr>
      <w:sz w:val="20"/>
      <w:szCs w:val="20"/>
    </w:rPr>
  </w:style>
  <w:style w:type="character" w:customStyle="1" w:styleId="NotedefinCar">
    <w:name w:val="Note de fin Car"/>
    <w:basedOn w:val="Policepardfaut"/>
    <w:link w:val="Notedefin"/>
    <w:uiPriority w:val="99"/>
    <w:semiHidden/>
    <w:rsid w:val="00E829B3"/>
    <w:rPr>
      <w:sz w:val="20"/>
      <w:szCs w:val="20"/>
    </w:rPr>
  </w:style>
  <w:style w:type="character" w:styleId="Appeldenotedefin">
    <w:name w:val="endnote reference"/>
    <w:basedOn w:val="Policepardfaut"/>
    <w:uiPriority w:val="99"/>
    <w:semiHidden/>
    <w:unhideWhenUsed/>
    <w:rsid w:val="00E829B3"/>
    <w:rPr>
      <w:vertAlign w:val="superscript"/>
    </w:rPr>
  </w:style>
  <w:style w:type="character" w:styleId="Lienhypertexte">
    <w:name w:val="Hyperlink"/>
    <w:basedOn w:val="Policepardfaut"/>
    <w:uiPriority w:val="99"/>
    <w:unhideWhenUsed/>
    <w:rsid w:val="00B718E5"/>
    <w:rPr>
      <w:color w:val="0000FF" w:themeColor="hyperlink"/>
      <w:u w:val="single"/>
    </w:rPr>
  </w:style>
  <w:style w:type="character" w:styleId="Lienhypertextesuivivisit">
    <w:name w:val="FollowedHyperlink"/>
    <w:basedOn w:val="Policepardfaut"/>
    <w:uiPriority w:val="99"/>
    <w:semiHidden/>
    <w:unhideWhenUsed/>
    <w:rsid w:val="00DE23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5306">
      <w:bodyDiv w:val="1"/>
      <w:marLeft w:val="0"/>
      <w:marRight w:val="0"/>
      <w:marTop w:val="0"/>
      <w:marBottom w:val="0"/>
      <w:divBdr>
        <w:top w:val="none" w:sz="0" w:space="0" w:color="auto"/>
        <w:left w:val="none" w:sz="0" w:space="0" w:color="auto"/>
        <w:bottom w:val="none" w:sz="0" w:space="0" w:color="auto"/>
        <w:right w:val="none" w:sz="0" w:space="0" w:color="auto"/>
      </w:divBdr>
      <w:divsChild>
        <w:div w:id="261837017">
          <w:marLeft w:val="0"/>
          <w:marRight w:val="0"/>
          <w:marTop w:val="0"/>
          <w:marBottom w:val="0"/>
          <w:divBdr>
            <w:top w:val="none" w:sz="0" w:space="0" w:color="auto"/>
            <w:left w:val="none" w:sz="0" w:space="0" w:color="auto"/>
            <w:bottom w:val="none" w:sz="0" w:space="0" w:color="auto"/>
            <w:right w:val="none" w:sz="0" w:space="0" w:color="auto"/>
          </w:divBdr>
        </w:div>
        <w:div w:id="592131166">
          <w:marLeft w:val="0"/>
          <w:marRight w:val="0"/>
          <w:marTop w:val="0"/>
          <w:marBottom w:val="0"/>
          <w:divBdr>
            <w:top w:val="none" w:sz="0" w:space="0" w:color="auto"/>
            <w:left w:val="none" w:sz="0" w:space="0" w:color="auto"/>
            <w:bottom w:val="none" w:sz="0" w:space="0" w:color="auto"/>
            <w:right w:val="none" w:sz="0" w:space="0" w:color="auto"/>
          </w:divBdr>
        </w:div>
        <w:div w:id="566721694">
          <w:marLeft w:val="0"/>
          <w:marRight w:val="0"/>
          <w:marTop w:val="0"/>
          <w:marBottom w:val="0"/>
          <w:divBdr>
            <w:top w:val="none" w:sz="0" w:space="0" w:color="auto"/>
            <w:left w:val="none" w:sz="0" w:space="0" w:color="auto"/>
            <w:bottom w:val="none" w:sz="0" w:space="0" w:color="auto"/>
            <w:right w:val="none" w:sz="0" w:space="0" w:color="auto"/>
          </w:divBdr>
        </w:div>
        <w:div w:id="1632831874">
          <w:marLeft w:val="0"/>
          <w:marRight w:val="0"/>
          <w:marTop w:val="0"/>
          <w:marBottom w:val="0"/>
          <w:divBdr>
            <w:top w:val="none" w:sz="0" w:space="0" w:color="auto"/>
            <w:left w:val="none" w:sz="0" w:space="0" w:color="auto"/>
            <w:bottom w:val="none" w:sz="0" w:space="0" w:color="auto"/>
            <w:right w:val="none" w:sz="0" w:space="0" w:color="auto"/>
          </w:divBdr>
        </w:div>
        <w:div w:id="1399091046">
          <w:marLeft w:val="0"/>
          <w:marRight w:val="0"/>
          <w:marTop w:val="0"/>
          <w:marBottom w:val="0"/>
          <w:divBdr>
            <w:top w:val="none" w:sz="0" w:space="0" w:color="auto"/>
            <w:left w:val="none" w:sz="0" w:space="0" w:color="auto"/>
            <w:bottom w:val="none" w:sz="0" w:space="0" w:color="auto"/>
            <w:right w:val="none" w:sz="0" w:space="0" w:color="auto"/>
          </w:divBdr>
        </w:div>
        <w:div w:id="1128471323">
          <w:marLeft w:val="0"/>
          <w:marRight w:val="0"/>
          <w:marTop w:val="0"/>
          <w:marBottom w:val="0"/>
          <w:divBdr>
            <w:top w:val="none" w:sz="0" w:space="0" w:color="auto"/>
            <w:left w:val="none" w:sz="0" w:space="0" w:color="auto"/>
            <w:bottom w:val="none" w:sz="0" w:space="0" w:color="auto"/>
            <w:right w:val="none" w:sz="0" w:space="0" w:color="auto"/>
          </w:divBdr>
        </w:div>
        <w:div w:id="1854106102">
          <w:marLeft w:val="0"/>
          <w:marRight w:val="0"/>
          <w:marTop w:val="0"/>
          <w:marBottom w:val="0"/>
          <w:divBdr>
            <w:top w:val="none" w:sz="0" w:space="0" w:color="auto"/>
            <w:left w:val="none" w:sz="0" w:space="0" w:color="auto"/>
            <w:bottom w:val="none" w:sz="0" w:space="0" w:color="auto"/>
            <w:right w:val="none" w:sz="0" w:space="0" w:color="auto"/>
          </w:divBdr>
        </w:div>
        <w:div w:id="716247593">
          <w:marLeft w:val="0"/>
          <w:marRight w:val="0"/>
          <w:marTop w:val="0"/>
          <w:marBottom w:val="0"/>
          <w:divBdr>
            <w:top w:val="none" w:sz="0" w:space="0" w:color="auto"/>
            <w:left w:val="none" w:sz="0" w:space="0" w:color="auto"/>
            <w:bottom w:val="none" w:sz="0" w:space="0" w:color="auto"/>
            <w:right w:val="none" w:sz="0" w:space="0" w:color="auto"/>
          </w:divBdr>
        </w:div>
        <w:div w:id="1127819864">
          <w:marLeft w:val="0"/>
          <w:marRight w:val="0"/>
          <w:marTop w:val="0"/>
          <w:marBottom w:val="0"/>
          <w:divBdr>
            <w:top w:val="none" w:sz="0" w:space="0" w:color="auto"/>
            <w:left w:val="none" w:sz="0" w:space="0" w:color="auto"/>
            <w:bottom w:val="none" w:sz="0" w:space="0" w:color="auto"/>
            <w:right w:val="none" w:sz="0" w:space="0" w:color="auto"/>
          </w:divBdr>
        </w:div>
        <w:div w:id="218327199">
          <w:marLeft w:val="0"/>
          <w:marRight w:val="0"/>
          <w:marTop w:val="0"/>
          <w:marBottom w:val="0"/>
          <w:divBdr>
            <w:top w:val="none" w:sz="0" w:space="0" w:color="auto"/>
            <w:left w:val="none" w:sz="0" w:space="0" w:color="auto"/>
            <w:bottom w:val="none" w:sz="0" w:space="0" w:color="auto"/>
            <w:right w:val="none" w:sz="0" w:space="0" w:color="auto"/>
          </w:divBdr>
        </w:div>
        <w:div w:id="1118139243">
          <w:marLeft w:val="0"/>
          <w:marRight w:val="0"/>
          <w:marTop w:val="0"/>
          <w:marBottom w:val="0"/>
          <w:divBdr>
            <w:top w:val="none" w:sz="0" w:space="0" w:color="auto"/>
            <w:left w:val="none" w:sz="0" w:space="0" w:color="auto"/>
            <w:bottom w:val="none" w:sz="0" w:space="0" w:color="auto"/>
            <w:right w:val="none" w:sz="0" w:space="0" w:color="auto"/>
          </w:divBdr>
        </w:div>
        <w:div w:id="2073262840">
          <w:marLeft w:val="0"/>
          <w:marRight w:val="0"/>
          <w:marTop w:val="0"/>
          <w:marBottom w:val="0"/>
          <w:divBdr>
            <w:top w:val="none" w:sz="0" w:space="0" w:color="auto"/>
            <w:left w:val="none" w:sz="0" w:space="0" w:color="auto"/>
            <w:bottom w:val="none" w:sz="0" w:space="0" w:color="auto"/>
            <w:right w:val="none" w:sz="0" w:space="0" w:color="auto"/>
          </w:divBdr>
        </w:div>
        <w:div w:id="438062261">
          <w:marLeft w:val="0"/>
          <w:marRight w:val="0"/>
          <w:marTop w:val="0"/>
          <w:marBottom w:val="0"/>
          <w:divBdr>
            <w:top w:val="none" w:sz="0" w:space="0" w:color="auto"/>
            <w:left w:val="none" w:sz="0" w:space="0" w:color="auto"/>
            <w:bottom w:val="none" w:sz="0" w:space="0" w:color="auto"/>
            <w:right w:val="none" w:sz="0" w:space="0" w:color="auto"/>
          </w:divBdr>
        </w:div>
        <w:div w:id="1601789981">
          <w:marLeft w:val="0"/>
          <w:marRight w:val="0"/>
          <w:marTop w:val="0"/>
          <w:marBottom w:val="0"/>
          <w:divBdr>
            <w:top w:val="none" w:sz="0" w:space="0" w:color="auto"/>
            <w:left w:val="none" w:sz="0" w:space="0" w:color="auto"/>
            <w:bottom w:val="none" w:sz="0" w:space="0" w:color="auto"/>
            <w:right w:val="none" w:sz="0" w:space="0" w:color="auto"/>
          </w:divBdr>
        </w:div>
        <w:div w:id="1762526935">
          <w:marLeft w:val="0"/>
          <w:marRight w:val="0"/>
          <w:marTop w:val="0"/>
          <w:marBottom w:val="0"/>
          <w:divBdr>
            <w:top w:val="none" w:sz="0" w:space="0" w:color="auto"/>
            <w:left w:val="none" w:sz="0" w:space="0" w:color="auto"/>
            <w:bottom w:val="none" w:sz="0" w:space="0" w:color="auto"/>
            <w:right w:val="none" w:sz="0" w:space="0" w:color="auto"/>
          </w:divBdr>
        </w:div>
        <w:div w:id="1916742450">
          <w:marLeft w:val="0"/>
          <w:marRight w:val="0"/>
          <w:marTop w:val="0"/>
          <w:marBottom w:val="0"/>
          <w:divBdr>
            <w:top w:val="none" w:sz="0" w:space="0" w:color="auto"/>
            <w:left w:val="none" w:sz="0" w:space="0" w:color="auto"/>
            <w:bottom w:val="none" w:sz="0" w:space="0" w:color="auto"/>
            <w:right w:val="none" w:sz="0" w:space="0" w:color="auto"/>
          </w:divBdr>
        </w:div>
        <w:div w:id="1082024953">
          <w:marLeft w:val="0"/>
          <w:marRight w:val="0"/>
          <w:marTop w:val="0"/>
          <w:marBottom w:val="0"/>
          <w:divBdr>
            <w:top w:val="none" w:sz="0" w:space="0" w:color="auto"/>
            <w:left w:val="none" w:sz="0" w:space="0" w:color="auto"/>
            <w:bottom w:val="none" w:sz="0" w:space="0" w:color="auto"/>
            <w:right w:val="none" w:sz="0" w:space="0" w:color="auto"/>
          </w:divBdr>
        </w:div>
        <w:div w:id="1631739228">
          <w:marLeft w:val="0"/>
          <w:marRight w:val="0"/>
          <w:marTop w:val="0"/>
          <w:marBottom w:val="0"/>
          <w:divBdr>
            <w:top w:val="none" w:sz="0" w:space="0" w:color="auto"/>
            <w:left w:val="none" w:sz="0" w:space="0" w:color="auto"/>
            <w:bottom w:val="none" w:sz="0" w:space="0" w:color="auto"/>
            <w:right w:val="none" w:sz="0" w:space="0" w:color="auto"/>
          </w:divBdr>
        </w:div>
        <w:div w:id="1201555687">
          <w:marLeft w:val="0"/>
          <w:marRight w:val="0"/>
          <w:marTop w:val="0"/>
          <w:marBottom w:val="0"/>
          <w:divBdr>
            <w:top w:val="none" w:sz="0" w:space="0" w:color="auto"/>
            <w:left w:val="none" w:sz="0" w:space="0" w:color="auto"/>
            <w:bottom w:val="none" w:sz="0" w:space="0" w:color="auto"/>
            <w:right w:val="none" w:sz="0" w:space="0" w:color="auto"/>
          </w:divBdr>
        </w:div>
        <w:div w:id="1704866643">
          <w:marLeft w:val="0"/>
          <w:marRight w:val="0"/>
          <w:marTop w:val="0"/>
          <w:marBottom w:val="0"/>
          <w:divBdr>
            <w:top w:val="none" w:sz="0" w:space="0" w:color="auto"/>
            <w:left w:val="none" w:sz="0" w:space="0" w:color="auto"/>
            <w:bottom w:val="none" w:sz="0" w:space="0" w:color="auto"/>
            <w:right w:val="none" w:sz="0" w:space="0" w:color="auto"/>
          </w:divBdr>
        </w:div>
        <w:div w:id="192503864">
          <w:marLeft w:val="0"/>
          <w:marRight w:val="0"/>
          <w:marTop w:val="0"/>
          <w:marBottom w:val="0"/>
          <w:divBdr>
            <w:top w:val="none" w:sz="0" w:space="0" w:color="auto"/>
            <w:left w:val="none" w:sz="0" w:space="0" w:color="auto"/>
            <w:bottom w:val="none" w:sz="0" w:space="0" w:color="auto"/>
            <w:right w:val="none" w:sz="0" w:space="0" w:color="auto"/>
          </w:divBdr>
        </w:div>
        <w:div w:id="1840846871">
          <w:marLeft w:val="0"/>
          <w:marRight w:val="0"/>
          <w:marTop w:val="0"/>
          <w:marBottom w:val="0"/>
          <w:divBdr>
            <w:top w:val="none" w:sz="0" w:space="0" w:color="auto"/>
            <w:left w:val="none" w:sz="0" w:space="0" w:color="auto"/>
            <w:bottom w:val="none" w:sz="0" w:space="0" w:color="auto"/>
            <w:right w:val="none" w:sz="0" w:space="0" w:color="auto"/>
          </w:divBdr>
        </w:div>
        <w:div w:id="1154759033">
          <w:marLeft w:val="0"/>
          <w:marRight w:val="0"/>
          <w:marTop w:val="0"/>
          <w:marBottom w:val="0"/>
          <w:divBdr>
            <w:top w:val="none" w:sz="0" w:space="0" w:color="auto"/>
            <w:left w:val="none" w:sz="0" w:space="0" w:color="auto"/>
            <w:bottom w:val="none" w:sz="0" w:space="0" w:color="auto"/>
            <w:right w:val="none" w:sz="0" w:space="0" w:color="auto"/>
          </w:divBdr>
        </w:div>
      </w:divsChild>
    </w:div>
    <w:div w:id="274289617">
      <w:bodyDiv w:val="1"/>
      <w:marLeft w:val="0"/>
      <w:marRight w:val="0"/>
      <w:marTop w:val="0"/>
      <w:marBottom w:val="0"/>
      <w:divBdr>
        <w:top w:val="none" w:sz="0" w:space="0" w:color="auto"/>
        <w:left w:val="none" w:sz="0" w:space="0" w:color="auto"/>
        <w:bottom w:val="none" w:sz="0" w:space="0" w:color="auto"/>
        <w:right w:val="none" w:sz="0" w:space="0" w:color="auto"/>
      </w:divBdr>
      <w:divsChild>
        <w:div w:id="765811982">
          <w:marLeft w:val="0"/>
          <w:marRight w:val="0"/>
          <w:marTop w:val="0"/>
          <w:marBottom w:val="0"/>
          <w:divBdr>
            <w:top w:val="none" w:sz="0" w:space="0" w:color="auto"/>
            <w:left w:val="none" w:sz="0" w:space="0" w:color="auto"/>
            <w:bottom w:val="none" w:sz="0" w:space="0" w:color="auto"/>
            <w:right w:val="none" w:sz="0" w:space="0" w:color="auto"/>
          </w:divBdr>
        </w:div>
        <w:div w:id="290211108">
          <w:marLeft w:val="0"/>
          <w:marRight w:val="0"/>
          <w:marTop w:val="0"/>
          <w:marBottom w:val="0"/>
          <w:divBdr>
            <w:top w:val="none" w:sz="0" w:space="0" w:color="auto"/>
            <w:left w:val="none" w:sz="0" w:space="0" w:color="auto"/>
            <w:bottom w:val="none" w:sz="0" w:space="0" w:color="auto"/>
            <w:right w:val="none" w:sz="0" w:space="0" w:color="auto"/>
          </w:divBdr>
        </w:div>
      </w:divsChild>
    </w:div>
    <w:div w:id="1243295084">
      <w:bodyDiv w:val="1"/>
      <w:marLeft w:val="0"/>
      <w:marRight w:val="0"/>
      <w:marTop w:val="0"/>
      <w:marBottom w:val="0"/>
      <w:divBdr>
        <w:top w:val="none" w:sz="0" w:space="0" w:color="auto"/>
        <w:left w:val="none" w:sz="0" w:space="0" w:color="auto"/>
        <w:bottom w:val="none" w:sz="0" w:space="0" w:color="auto"/>
        <w:right w:val="none" w:sz="0" w:space="0" w:color="auto"/>
      </w:divBdr>
      <w:divsChild>
        <w:div w:id="1307513464">
          <w:marLeft w:val="0"/>
          <w:marRight w:val="0"/>
          <w:marTop w:val="0"/>
          <w:marBottom w:val="0"/>
          <w:divBdr>
            <w:top w:val="none" w:sz="0" w:space="0" w:color="auto"/>
            <w:left w:val="none" w:sz="0" w:space="0" w:color="auto"/>
            <w:bottom w:val="none" w:sz="0" w:space="0" w:color="auto"/>
            <w:right w:val="none" w:sz="0" w:space="0" w:color="auto"/>
          </w:divBdr>
        </w:div>
        <w:div w:id="488403263">
          <w:marLeft w:val="0"/>
          <w:marRight w:val="0"/>
          <w:marTop w:val="0"/>
          <w:marBottom w:val="0"/>
          <w:divBdr>
            <w:top w:val="none" w:sz="0" w:space="0" w:color="auto"/>
            <w:left w:val="none" w:sz="0" w:space="0" w:color="auto"/>
            <w:bottom w:val="none" w:sz="0" w:space="0" w:color="auto"/>
            <w:right w:val="none" w:sz="0" w:space="0" w:color="auto"/>
          </w:divBdr>
        </w:div>
        <w:div w:id="931745718">
          <w:marLeft w:val="0"/>
          <w:marRight w:val="0"/>
          <w:marTop w:val="0"/>
          <w:marBottom w:val="0"/>
          <w:divBdr>
            <w:top w:val="none" w:sz="0" w:space="0" w:color="auto"/>
            <w:left w:val="none" w:sz="0" w:space="0" w:color="auto"/>
            <w:bottom w:val="none" w:sz="0" w:space="0" w:color="auto"/>
            <w:right w:val="none" w:sz="0" w:space="0" w:color="auto"/>
          </w:divBdr>
        </w:div>
        <w:div w:id="191963100">
          <w:marLeft w:val="0"/>
          <w:marRight w:val="0"/>
          <w:marTop w:val="0"/>
          <w:marBottom w:val="0"/>
          <w:divBdr>
            <w:top w:val="none" w:sz="0" w:space="0" w:color="auto"/>
            <w:left w:val="none" w:sz="0" w:space="0" w:color="auto"/>
            <w:bottom w:val="none" w:sz="0" w:space="0" w:color="auto"/>
            <w:right w:val="none" w:sz="0" w:space="0" w:color="auto"/>
          </w:divBdr>
        </w:div>
        <w:div w:id="1498618924">
          <w:marLeft w:val="0"/>
          <w:marRight w:val="0"/>
          <w:marTop w:val="0"/>
          <w:marBottom w:val="0"/>
          <w:divBdr>
            <w:top w:val="none" w:sz="0" w:space="0" w:color="auto"/>
            <w:left w:val="none" w:sz="0" w:space="0" w:color="auto"/>
            <w:bottom w:val="none" w:sz="0" w:space="0" w:color="auto"/>
            <w:right w:val="none" w:sz="0" w:space="0" w:color="auto"/>
          </w:divBdr>
        </w:div>
        <w:div w:id="1199196401">
          <w:marLeft w:val="0"/>
          <w:marRight w:val="0"/>
          <w:marTop w:val="0"/>
          <w:marBottom w:val="0"/>
          <w:divBdr>
            <w:top w:val="none" w:sz="0" w:space="0" w:color="auto"/>
            <w:left w:val="none" w:sz="0" w:space="0" w:color="auto"/>
            <w:bottom w:val="none" w:sz="0" w:space="0" w:color="auto"/>
            <w:right w:val="none" w:sz="0" w:space="0" w:color="auto"/>
          </w:divBdr>
        </w:div>
        <w:div w:id="163363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res.travail-emploi.gouv.fr/IMG/xls/dares_analyses_082-_donnees_a_telecharger.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96BF-AC41-4D44-9D45-DE0F5E98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7</Pages>
  <Words>2434</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138</cp:revision>
  <dcterms:created xsi:type="dcterms:W3CDTF">2016-10-17T13:44:00Z</dcterms:created>
  <dcterms:modified xsi:type="dcterms:W3CDTF">2016-12-23T09:27:00Z</dcterms:modified>
</cp:coreProperties>
</file>